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E172D0">
        <w:t>en el mandato actual 2023-2027</w:t>
      </w:r>
      <w:r>
        <w:t xml:space="preserve">, </w:t>
      </w:r>
      <w:r w:rsidR="00176528">
        <w:t xml:space="preserve">no </w:t>
      </w:r>
      <w:r w:rsidR="00E172D0">
        <w:t>ha habido ningún abandono de cargo que haya requerido una indemnización</w:t>
      </w:r>
      <w:r w:rsidR="00054D31">
        <w:t>.</w:t>
      </w:r>
      <w:bookmarkStart w:id="0" w:name="_GoBack"/>
      <w:bookmarkEnd w:id="0"/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C703BAC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A6F2-ED64-480A-B258-812A9570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2025-08-14T16:35:00Z</dcterms:created>
  <dcterms:modified xsi:type="dcterms:W3CDTF">2025-08-14T16:35:00Z</dcterms:modified>
</cp:coreProperties>
</file>