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3D2BF8">
        <w:t>durante el periodo de exposición pública del presupuesto 2025 (del 17 de junio al 8 de julio de 2025</w:t>
      </w:r>
      <w:bookmarkStart w:id="0" w:name="_GoBack"/>
      <w:bookmarkEnd w:id="0"/>
      <w:r w:rsidR="003D2BF8">
        <w:t>)</w:t>
      </w:r>
      <w:r>
        <w:t xml:space="preserve">, </w:t>
      </w:r>
      <w:r w:rsidR="00176528">
        <w:t xml:space="preserve">no </w:t>
      </w:r>
      <w:r w:rsidR="003D2BF8">
        <w:t>se presentaron alegaciones al presupuesto</w:t>
      </w:r>
      <w:r w:rsidR="00054D31"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D2BF8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172D0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20C50DA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7094-A636-415D-BFBF-4253F33F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2025-08-14T17:00:00Z</dcterms:created>
  <dcterms:modified xsi:type="dcterms:W3CDTF">2025-08-14T17:00:00Z</dcterms:modified>
</cp:coreProperties>
</file>