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AD5DF5">
        <w:t>noviembre</w:t>
      </w:r>
      <w:r w:rsidR="00F66164">
        <w:t xml:space="preserve"> de 2025</w:t>
      </w:r>
      <w:r>
        <w:t xml:space="preserve">, </w:t>
      </w:r>
      <w:r w:rsidR="00176528">
        <w:t xml:space="preserve">no </w:t>
      </w:r>
      <w:r w:rsidR="005612B3">
        <w:t>existen resoluciones sobre compatibilidad de actividades privadas</w:t>
      </w:r>
      <w:bookmarkStart w:id="0" w:name="_GoBack"/>
      <w:bookmarkEnd w:id="0"/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27F28BB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70FE-C391-4647-A604-F46E6094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2025-10-30T20:06:00Z</dcterms:created>
  <dcterms:modified xsi:type="dcterms:W3CDTF">2025-10-30T20:06:00Z</dcterms:modified>
</cp:coreProperties>
</file>