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5CB" w:rsidRDefault="002915CB">
      <w:pPr>
        <w:spacing w:before="2400"/>
      </w:pPr>
      <w:bookmarkStart w:id="0" w:name="_GoBack"/>
      <w:bookmarkEnd w:id="0"/>
    </w:p>
    <w:p w:rsidR="002915CB" w:rsidRDefault="005D11A6">
      <w:pPr>
        <w:spacing w:after="240"/>
        <w:jc w:val="center"/>
      </w:pPr>
      <w:r>
        <w:rPr>
          <w:b/>
          <w:bCs/>
          <w:color w:val="1F3864"/>
          <w:sz w:val="28"/>
          <w:szCs w:val="28"/>
        </w:rPr>
        <w:t>AYUNTAMIENTO DE HUMANES DE MADRID</w:t>
      </w:r>
    </w:p>
    <w:p w:rsidR="002915CB" w:rsidRDefault="005D11A6">
      <w:pPr>
        <w:spacing w:after="720"/>
        <w:jc w:val="center"/>
      </w:pPr>
      <w:r>
        <w:rPr>
          <w:i/>
          <w:iCs/>
          <w:color w:val="2E75B6"/>
        </w:rPr>
        <w:t>Portal de Transparencia</w:t>
      </w:r>
    </w:p>
    <w:p w:rsidR="002915CB" w:rsidRDefault="005D11A6">
      <w:pPr>
        <w:pBdr>
          <w:top w:val="single" w:sz="12" w:space="12" w:color="1F3864"/>
          <w:bottom w:val="single" w:sz="12" w:space="12" w:color="1F3864"/>
        </w:pBdr>
        <w:spacing w:after="240"/>
        <w:jc w:val="center"/>
      </w:pPr>
      <w:r>
        <w:rPr>
          <w:b/>
          <w:bCs/>
          <w:color w:val="1F3864"/>
          <w:sz w:val="44"/>
          <w:szCs w:val="44"/>
        </w:rPr>
        <w:t>INFORMACIÓN GENERAL DEL MUNICIPIO</w:t>
      </w:r>
    </w:p>
    <w:p w:rsidR="002915CB" w:rsidRDefault="005D11A6">
      <w:pPr>
        <w:spacing w:before="240" w:after="480"/>
        <w:jc w:val="center"/>
      </w:pPr>
      <w:r>
        <w:rPr>
          <w:i/>
          <w:iCs/>
          <w:color w:val="2E75B6"/>
          <w:sz w:val="26"/>
          <w:szCs w:val="26"/>
        </w:rPr>
        <w:t>Información geográfica, económica y estadística de elaboración propia</w:t>
      </w:r>
    </w:p>
    <w:p w:rsidR="002915CB" w:rsidRDefault="005D11A6">
      <w:pPr>
        <w:spacing w:after="240"/>
        <w:jc w:val="center"/>
      </w:pPr>
      <w:r>
        <w:rPr>
          <w:b/>
          <w:bCs/>
          <w:sz w:val="24"/>
          <w:szCs w:val="24"/>
        </w:rPr>
        <w:t>Municipio de Humanes de Madrid</w:t>
      </w:r>
    </w:p>
    <w:p w:rsidR="002915CB" w:rsidRDefault="005D11A6">
      <w:pPr>
        <w:spacing w:after="1200"/>
        <w:jc w:val="center"/>
      </w:pPr>
      <w:r>
        <w:t>Comunidad de Madrid</w:t>
      </w:r>
    </w:p>
    <w:p w:rsidR="002915CB" w:rsidRDefault="005D11A6">
      <w:pPr>
        <w:spacing w:after="120"/>
        <w:jc w:val="center"/>
      </w:pPr>
      <w:r>
        <w:rPr>
          <w:i/>
          <w:iCs/>
          <w:color w:val="595959"/>
          <w:sz w:val="20"/>
          <w:szCs w:val="20"/>
        </w:rPr>
        <w:t>Documento elaborado en cumplimiento de las obligaciones de publicidad activa</w:t>
      </w:r>
    </w:p>
    <w:p w:rsidR="002915CB" w:rsidRDefault="005D11A6">
      <w:pPr>
        <w:spacing w:after="120"/>
        <w:jc w:val="center"/>
      </w:pPr>
      <w:r>
        <w:rPr>
          <w:i/>
          <w:iCs/>
          <w:color w:val="595959"/>
          <w:sz w:val="20"/>
          <w:szCs w:val="20"/>
        </w:rPr>
        <w:t>previstas en la Ley 10/2019, de 10 de abril, de Transparencia y de</w:t>
      </w:r>
    </w:p>
    <w:p w:rsidR="002915CB" w:rsidRDefault="005D11A6">
      <w:pPr>
        <w:spacing w:after="720"/>
        <w:jc w:val="center"/>
      </w:pPr>
      <w:r>
        <w:rPr>
          <w:i/>
          <w:iCs/>
          <w:color w:val="595959"/>
          <w:sz w:val="20"/>
          <w:szCs w:val="20"/>
        </w:rPr>
        <w:t>Participación de la Comunidad de Madrid</w:t>
      </w:r>
    </w:p>
    <w:p w:rsidR="002915CB" w:rsidRDefault="005D11A6">
      <w:pPr>
        <w:jc w:val="center"/>
      </w:pPr>
      <w:r>
        <w:rPr>
          <w:b/>
          <w:bCs/>
          <w:color w:val="1F3864"/>
          <w:sz w:val="24"/>
          <w:szCs w:val="24"/>
        </w:rPr>
        <w:t>Mayo de 2026</w:t>
      </w:r>
    </w:p>
    <w:p w:rsidR="002915CB" w:rsidRDefault="005D11A6">
      <w:r>
        <w:br w:type="page"/>
      </w:r>
    </w:p>
    <w:p w:rsidR="002915CB" w:rsidRDefault="005D11A6">
      <w:pPr>
        <w:pStyle w:val="Ttulo1"/>
        <w:pBdr>
          <w:bottom w:val="single" w:sz="12" w:space="4" w:color="1F3864"/>
        </w:pBdr>
      </w:pPr>
      <w:r>
        <w:lastRenderedPageBreak/>
        <w:t>1. Introducción y marco normativo</w:t>
      </w:r>
    </w:p>
    <w:p w:rsidR="002915CB" w:rsidRDefault="005D11A6">
      <w:pPr>
        <w:spacing w:after="120" w:line="300" w:lineRule="auto"/>
        <w:jc w:val="both"/>
      </w:pPr>
      <w:r>
        <w:rPr>
          <w:color w:val="000000"/>
        </w:rPr>
        <w:t>El presente documento r</w:t>
      </w:r>
      <w:r>
        <w:rPr>
          <w:color w:val="000000"/>
        </w:rPr>
        <w:t xml:space="preserve">ecoge la información general del municipio de Humanes de Madrid en sus dimensiones geográfica, económica y estadística, conforme a las obligaciones de publicidad activa establecidas en la Ley 10/2019, de 10 de abril, de Transparencia y de Participación de </w:t>
      </w:r>
      <w:r>
        <w:rPr>
          <w:color w:val="000000"/>
        </w:rPr>
        <w:t>la Comunidad de Madrid (BOCM núm. 94, de 22 de abril de 2019; BOE núm. 163, de 9 de julio de 2019), de aplicación a las entidades locales del territorio madrileño en virtud de su disposición adicional octava.</w:t>
      </w:r>
    </w:p>
    <w:p w:rsidR="002915CB" w:rsidRDefault="005D11A6">
      <w:pPr>
        <w:spacing w:after="120" w:line="300" w:lineRule="auto"/>
        <w:jc w:val="both"/>
      </w:pPr>
      <w:r>
        <w:rPr>
          <w:color w:val="000000"/>
        </w:rPr>
        <w:t>El artículo 27 de la citada Ley impone a los sujetos obligados, entre los que se encuentran los municipios de la Comunidad de Madrid, la difusión de la información estadística necesaria para valorar el grado de cumplimiento y calidad de los servicios públi</w:t>
      </w:r>
      <w:r>
        <w:rPr>
          <w:color w:val="000000"/>
        </w:rPr>
        <w:t>cos de su competencia, así como aquella información de elaboración propia que permita el conocimiento general del municipio. Asimismo, el artículo 8 de la Ley 19/2013, de 9 de diciembre, de transparencia, acceso a la información pública y buen gobierno —de</w:t>
      </w:r>
      <w:r>
        <w:rPr>
          <w:color w:val="000000"/>
        </w:rPr>
        <w:t xml:space="preserve"> carácter básico— exige la publicación de información estadística vinculada al ejercicio de competencias propias.</w:t>
      </w:r>
    </w:p>
    <w:p w:rsidR="002915CB" w:rsidRDefault="005D11A6">
      <w:pPr>
        <w:spacing w:after="120" w:line="300" w:lineRule="auto"/>
        <w:jc w:val="both"/>
      </w:pPr>
      <w:r>
        <w:rPr>
          <w:color w:val="000000"/>
        </w:rPr>
        <w:t xml:space="preserve">En coherencia con dichas previsiones, este documento ofrece una visión sintética y verificable del municipio, ordenada en bloques homogéneos: </w:t>
      </w:r>
      <w:r>
        <w:rPr>
          <w:color w:val="000000"/>
        </w:rPr>
        <w:t>información geográfica, información demográfica, información económica e información estadística complementaria (educación, sanidad, vivienda, urbanismo y servicios). Cada uno de los apartados se acompaña de la indicación de su fuente original, con remisió</w:t>
      </w:r>
      <w:r>
        <w:rPr>
          <w:color w:val="000000"/>
        </w:rPr>
        <w:t>n expresa a las publicaciones oficiales del Instituto Nacional de Estadística (INE), el Instituto de Estadística de la Comunidad de Madrid, la Agencia Estatal de Meteorología (AEMET), el Catastro y el Servicio Público de Empleo Estatal (SEPE), entre otras.</w:t>
      </w:r>
    </w:p>
    <w:p w:rsidR="002915CB" w:rsidRDefault="005D11A6">
      <w:pPr>
        <w:spacing w:after="120" w:line="300" w:lineRule="auto"/>
        <w:jc w:val="both"/>
      </w:pPr>
      <w:r>
        <w:rPr>
          <w:color w:val="000000"/>
        </w:rPr>
        <w:t>La metodología seguida en la elaboración del presente informe se detalla en el apartado final, conforme al principio de veracidad recogido en el artículo 6.c) de la Ley 10/2019 y al principio de accesibilidad que rige toda la actividad pública de publicid</w:t>
      </w:r>
      <w:r>
        <w:rPr>
          <w:color w:val="000000"/>
        </w:rPr>
        <w:t>ad activa.</w:t>
      </w:r>
    </w:p>
    <w:p w:rsidR="002915CB" w:rsidRDefault="005D11A6">
      <w:r>
        <w:br w:type="page"/>
      </w:r>
    </w:p>
    <w:p w:rsidR="002915CB" w:rsidRDefault="005D11A6">
      <w:pPr>
        <w:pStyle w:val="Ttulo1"/>
        <w:pBdr>
          <w:bottom w:val="single" w:sz="12" w:space="4" w:color="1F3864"/>
        </w:pBdr>
      </w:pPr>
      <w:r>
        <w:lastRenderedPageBreak/>
        <w:t>2. Información geográfica</w:t>
      </w:r>
    </w:p>
    <w:p w:rsidR="002915CB" w:rsidRDefault="005D11A6">
      <w:pPr>
        <w:pStyle w:val="Ttulo2"/>
      </w:pPr>
      <w:r>
        <w:t>2.1. Situación y emplazamiento</w:t>
      </w:r>
    </w:p>
    <w:p w:rsidR="002915CB" w:rsidRDefault="005D11A6">
      <w:pPr>
        <w:spacing w:after="120" w:line="300" w:lineRule="auto"/>
        <w:jc w:val="both"/>
      </w:pPr>
      <w:r>
        <w:rPr>
          <w:color w:val="000000"/>
        </w:rPr>
        <w:t>Humanes de Madrid es un municipio español perteneciente a la Comunidad de Madrid, situado en la zona sur del área metropolitana de Madrid, dentro de la denominada Zona Estadística Sur Metropolitano. Tiene la condición jurídica de villa y se encuentra integ</w:t>
      </w:r>
      <w:r>
        <w:rPr>
          <w:color w:val="000000"/>
        </w:rPr>
        <w:t>rado en el partido judicial de Fuenlabrada y en la diócesis eclesiástica de Getafe.</w:t>
      </w:r>
    </w:p>
    <w:p w:rsidR="002915CB" w:rsidRDefault="005D11A6">
      <w:pPr>
        <w:spacing w:after="120" w:line="300" w:lineRule="auto"/>
        <w:jc w:val="both"/>
      </w:pPr>
      <w:r>
        <w:rPr>
          <w:color w:val="000000"/>
        </w:rPr>
        <w:t>El municipio dista 23 kilómetros de la ciudad de Madrid, capital de España y de la Comunidad Autónoma. Histórica y administrativamente perteneció a la provincia de Toledo h</w:t>
      </w:r>
      <w:r>
        <w:rPr>
          <w:color w:val="000000"/>
        </w:rPr>
        <w:t>asta el reajuste territorial de 1833, momento en que se integró definitivamente en la provincia de Madrid.</w:t>
      </w:r>
    </w:p>
    <w:p w:rsidR="002915CB" w:rsidRDefault="005D11A6">
      <w:pPr>
        <w:pStyle w:val="Ttulo2"/>
      </w:pPr>
      <w:r>
        <w:t>2.2. Datos geográficos básicos</w:t>
      </w:r>
    </w:p>
    <w:p w:rsidR="002915CB" w:rsidRDefault="005D11A6">
      <w:pPr>
        <w:spacing w:before="160" w:after="80"/>
      </w:pPr>
      <w:r>
        <w:rPr>
          <w:b/>
          <w:bCs/>
          <w:color w:val="1F3864"/>
        </w:rPr>
        <w:t>Tabla 1. Datos geográficos básicos del municipio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915CB">
        <w:tblPrEx>
          <w:tblCellMar>
            <w:top w:w="0" w:type="dxa"/>
            <w:bottom w:w="0" w:type="dxa"/>
          </w:tblCellMar>
        </w:tblPrEx>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Concepto</w:t>
            </w:r>
          </w:p>
        </w:tc>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Valor</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Denominación oficial</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Humanes de Madrid</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Código INE municipal</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28073</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Código postal</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28970</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Provincia</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Madrid</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Comunidad Autónoma</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Comunidad de Madrid</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Zona estadística</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Sur Metropolitano</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Partido judicial</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Fuenlabrada</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Diócesis</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Getafe</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Gentilicio</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Humanense</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Distancia a Madrid capital</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23 km</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Latitud</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40° 15′ 00″ N</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Longitud</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 49′ 42″ O</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Altitud sobre el nivel del mar</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677 m</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Superficie del término municipal</w:t>
            </w:r>
          </w:p>
        </w:tc>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19,46 km²</w:t>
            </w:r>
          </w:p>
        </w:tc>
      </w:tr>
    </w:tbl>
    <w:p w:rsidR="002915CB" w:rsidRDefault="005D11A6">
      <w:pPr>
        <w:spacing w:before="60" w:after="200" w:line="260" w:lineRule="auto"/>
      </w:pPr>
      <w:r>
        <w:rPr>
          <w:i/>
          <w:iCs/>
          <w:color w:val="595959"/>
          <w:sz w:val="18"/>
          <w:szCs w:val="18"/>
        </w:rPr>
        <w:t>Fuentes: Instituto Nacional de Estadística (INE), Nomenclátor de unidades poblacionales; Agencia Estatal de Meteorología (AEMET); Instituto de Estadística de la Comunidad de Madrid.</w:t>
      </w:r>
    </w:p>
    <w:p w:rsidR="002915CB" w:rsidRDefault="005D11A6">
      <w:pPr>
        <w:pStyle w:val="Ttulo2"/>
      </w:pPr>
      <w:r>
        <w:t>2.3. Límites y municipios colindantes</w:t>
      </w:r>
    </w:p>
    <w:p w:rsidR="002915CB" w:rsidRDefault="005D11A6">
      <w:pPr>
        <w:spacing w:after="120" w:line="300" w:lineRule="auto"/>
        <w:jc w:val="both"/>
      </w:pPr>
      <w:r>
        <w:rPr>
          <w:color w:val="000000"/>
        </w:rPr>
        <w:t>El término municipal de Humanes de M</w:t>
      </w:r>
      <w:r>
        <w:rPr>
          <w:color w:val="000000"/>
        </w:rPr>
        <w:t>adrid ocupa una posición central en el cuadrante sur de la Comunidad de Madrid y limita con cinco municipios:</w:t>
      </w:r>
    </w:p>
    <w:p w:rsidR="002915CB" w:rsidRDefault="005D11A6">
      <w:pPr>
        <w:pStyle w:val="Prrafodelista"/>
        <w:numPr>
          <w:ilvl w:val="0"/>
          <w:numId w:val="2"/>
        </w:numPr>
        <w:spacing w:after="80" w:line="280" w:lineRule="auto"/>
        <w:jc w:val="both"/>
      </w:pPr>
      <w:r>
        <w:rPr>
          <w:b/>
          <w:bCs/>
        </w:rPr>
        <w:t xml:space="preserve">Norte: </w:t>
      </w:r>
      <w:r>
        <w:t>Moraleja de Enmedio y Fuenlabrada.</w:t>
      </w:r>
    </w:p>
    <w:p w:rsidR="002915CB" w:rsidRDefault="005D11A6">
      <w:pPr>
        <w:pStyle w:val="Prrafodelista"/>
        <w:numPr>
          <w:ilvl w:val="0"/>
          <w:numId w:val="2"/>
        </w:numPr>
        <w:spacing w:after="80" w:line="280" w:lineRule="auto"/>
        <w:jc w:val="both"/>
      </w:pPr>
      <w:r>
        <w:rPr>
          <w:b/>
          <w:bCs/>
        </w:rPr>
        <w:lastRenderedPageBreak/>
        <w:t xml:space="preserve">Este: </w:t>
      </w:r>
      <w:r>
        <w:t>Fuenlabrada y Parla.</w:t>
      </w:r>
    </w:p>
    <w:p w:rsidR="002915CB" w:rsidRDefault="005D11A6">
      <w:pPr>
        <w:pStyle w:val="Prrafodelista"/>
        <w:numPr>
          <w:ilvl w:val="0"/>
          <w:numId w:val="2"/>
        </w:numPr>
        <w:spacing w:after="80" w:line="280" w:lineRule="auto"/>
        <w:jc w:val="both"/>
      </w:pPr>
      <w:r>
        <w:rPr>
          <w:b/>
          <w:bCs/>
        </w:rPr>
        <w:t xml:space="preserve">Sur: </w:t>
      </w:r>
      <w:r>
        <w:t>Griñón.</w:t>
      </w:r>
    </w:p>
    <w:p w:rsidR="002915CB" w:rsidRDefault="005D11A6">
      <w:pPr>
        <w:pStyle w:val="Prrafodelista"/>
        <w:numPr>
          <w:ilvl w:val="0"/>
          <w:numId w:val="2"/>
        </w:numPr>
        <w:spacing w:after="80" w:line="280" w:lineRule="auto"/>
        <w:jc w:val="both"/>
      </w:pPr>
      <w:r>
        <w:rPr>
          <w:b/>
          <w:bCs/>
        </w:rPr>
        <w:t xml:space="preserve">Oeste: </w:t>
      </w:r>
      <w:r>
        <w:t>Moraleja de Enmedio.</w:t>
      </w:r>
    </w:p>
    <w:p w:rsidR="002915CB" w:rsidRDefault="005D11A6">
      <w:pPr>
        <w:spacing w:after="120" w:line="300" w:lineRule="auto"/>
        <w:jc w:val="both"/>
      </w:pPr>
      <w:r>
        <w:rPr>
          <w:color w:val="000000"/>
        </w:rPr>
        <w:t>Con una superficie de 19,46 km², Humanes de Madrid figura entre los municipios de menor extensión territorial de la Comunidad de Madrid, lo que, combinado con su elevada población, le confiere una de las densidades de población más altas del entorno metrop</w:t>
      </w:r>
      <w:r>
        <w:rPr>
          <w:color w:val="000000"/>
        </w:rPr>
        <w:t>olitano sur.</w:t>
      </w:r>
    </w:p>
    <w:p w:rsidR="002915CB" w:rsidRDefault="005D11A6">
      <w:pPr>
        <w:pStyle w:val="Ttulo2"/>
      </w:pPr>
      <w:r>
        <w:t>2.4. Relieve e hidrografía</w:t>
      </w:r>
    </w:p>
    <w:p w:rsidR="002915CB" w:rsidRDefault="005D11A6">
      <w:pPr>
        <w:spacing w:after="120" w:line="300" w:lineRule="auto"/>
        <w:jc w:val="both"/>
      </w:pPr>
      <w:r>
        <w:rPr>
          <w:color w:val="000000"/>
        </w:rPr>
        <w:t xml:space="preserve">El término municipal se asienta sobre un relieve mayoritariamente llano, configurado por una llanura arenosa situada entre las cuencas de los ríos Guadarrama y Jarama. Las altitudes oscilan entre los aproximadamente </w:t>
      </w:r>
      <w:r>
        <w:rPr>
          <w:color w:val="000000"/>
        </w:rPr>
        <w:t xml:space="preserve">700 metros sobre el nivel del mar en el Cerro del Lomo —cota más elevada del municipio— y los 644 metros del Arroyo de las Arroyadas, en su confluencia con el Arroyo de </w:t>
      </w:r>
      <w:proofErr w:type="spellStart"/>
      <w:r>
        <w:rPr>
          <w:color w:val="000000"/>
        </w:rPr>
        <w:t>Valdenovillo</w:t>
      </w:r>
      <w:proofErr w:type="spellEnd"/>
      <w:r>
        <w:rPr>
          <w:color w:val="000000"/>
        </w:rPr>
        <w:t xml:space="preserve"> del Prado, en el extremo sudoriental del término. La altitud del núcleo ur</w:t>
      </w:r>
      <w:r>
        <w:rPr>
          <w:color w:val="000000"/>
        </w:rPr>
        <w:t>bano es de 677 metros.</w:t>
      </w:r>
    </w:p>
    <w:p w:rsidR="002915CB" w:rsidRDefault="005D11A6">
      <w:pPr>
        <w:spacing w:after="120" w:line="300" w:lineRule="auto"/>
        <w:jc w:val="both"/>
      </w:pPr>
      <w:r>
        <w:rPr>
          <w:color w:val="000000"/>
        </w:rPr>
        <w:t xml:space="preserve">Desde el punto de vista hidrográfico, el municipio se inscribe en la cuenca del río Tajo. Lo recorren varios arroyos de carácter estacional, que confluyen para dar lugar al arroyo de </w:t>
      </w:r>
      <w:proofErr w:type="spellStart"/>
      <w:r>
        <w:rPr>
          <w:color w:val="000000"/>
        </w:rPr>
        <w:t>Guatén</w:t>
      </w:r>
      <w:proofErr w:type="spellEnd"/>
      <w:r>
        <w:rPr>
          <w:color w:val="000000"/>
        </w:rPr>
        <w:t>, tributario del Tajo. La inexistencia de cu</w:t>
      </w:r>
      <w:r>
        <w:rPr>
          <w:color w:val="000000"/>
        </w:rPr>
        <w:t>rsos fluviales permanentes ha determinado históricamente las características del aprovechamiento agrícola del territorio.</w:t>
      </w:r>
    </w:p>
    <w:p w:rsidR="002915CB" w:rsidRDefault="005D11A6">
      <w:pPr>
        <w:pStyle w:val="Ttulo2"/>
      </w:pPr>
      <w:r>
        <w:t>2.5. Clima</w:t>
      </w:r>
    </w:p>
    <w:p w:rsidR="002915CB" w:rsidRDefault="005D11A6">
      <w:pPr>
        <w:spacing w:after="120" w:line="300" w:lineRule="auto"/>
        <w:jc w:val="both"/>
      </w:pPr>
      <w:r>
        <w:rPr>
          <w:color w:val="000000"/>
        </w:rPr>
        <w:t xml:space="preserve">Humanes de Madrid presenta un clima mediterráneo continentalizado, clasificado como </w:t>
      </w:r>
      <w:proofErr w:type="spellStart"/>
      <w:r>
        <w:rPr>
          <w:color w:val="000000"/>
        </w:rPr>
        <w:t>Csa</w:t>
      </w:r>
      <w:proofErr w:type="spellEnd"/>
      <w:r>
        <w:rPr>
          <w:color w:val="000000"/>
        </w:rPr>
        <w:t xml:space="preserve"> (templado con verano seco y caluroso) según la clasificación climática de Köppen-Geiger. Los inviernos son fríos y los veranos calurosos, con escasas precipitaciones co</w:t>
      </w:r>
      <w:r>
        <w:rPr>
          <w:color w:val="000000"/>
        </w:rPr>
        <w:t>ncentradas mayoritariamente en los meses de otoño y primavera.</w:t>
      </w:r>
    </w:p>
    <w:p w:rsidR="002915CB" w:rsidRDefault="005D11A6">
      <w:pPr>
        <w:spacing w:before="160" w:after="80"/>
      </w:pPr>
      <w:r>
        <w:rPr>
          <w:b/>
          <w:bCs/>
          <w:color w:val="1F3864"/>
        </w:rPr>
        <w:t>Tabla 2. Principales parámetros climáticos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2915CB">
        <w:tblPrEx>
          <w:tblCellMar>
            <w:top w:w="0" w:type="dxa"/>
            <w:bottom w:w="0" w:type="dxa"/>
          </w:tblCellMar>
        </w:tblPrEx>
        <w:trPr>
          <w:tblHeader/>
        </w:trPr>
        <w:tc>
          <w:tcPr>
            <w:tcW w:w="57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Parámetro</w:t>
            </w:r>
          </w:p>
        </w:tc>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Valor</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Clasificación climática (Köppen-Geiger)</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proofErr w:type="spellStart"/>
            <w:r>
              <w:rPr>
                <w:color w:val="000000"/>
                <w:sz w:val="20"/>
                <w:szCs w:val="20"/>
              </w:rPr>
              <w:t>Csa</w:t>
            </w:r>
            <w:proofErr w:type="spellEnd"/>
            <w:r>
              <w:rPr>
                <w:color w:val="000000"/>
                <w:sz w:val="20"/>
                <w:szCs w:val="20"/>
              </w:rPr>
              <w:t xml:space="preserve"> (mediterráneo continentalizado)</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Temperatura media anual</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14,5 °C</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Temperatura media del mes más cálido (julio)</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26,0 °C</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Temperatura media del mes más frío (enero)</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4,8 °C</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Oscilación térmica anual</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21,2 °C</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Precipitación media anual</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430 mm</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Mes más lluvioso (media)</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Octubre (61 mm)</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Mes más seco (media)</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Julio (7 mm)</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Zona de avisos AEMET</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Sur, Vegas y Oeste</w:t>
            </w:r>
          </w:p>
        </w:tc>
      </w:tr>
    </w:tbl>
    <w:p w:rsidR="002915CB" w:rsidRDefault="005D11A6">
      <w:pPr>
        <w:spacing w:before="60" w:after="200" w:line="260" w:lineRule="auto"/>
      </w:pPr>
      <w:r>
        <w:rPr>
          <w:i/>
          <w:iCs/>
          <w:color w:val="595959"/>
          <w:sz w:val="18"/>
          <w:szCs w:val="18"/>
        </w:rPr>
        <w:t>Fuente: Agencia Estatal de Meteorología (AEMET); serie climática 1991-2021.</w:t>
      </w:r>
    </w:p>
    <w:p w:rsidR="002915CB" w:rsidRDefault="005D11A6">
      <w:pPr>
        <w:pStyle w:val="Ttulo2"/>
      </w:pPr>
      <w:r>
        <w:lastRenderedPageBreak/>
        <w:t>2.6. Comunicaciones e infraestructuras de transporte</w:t>
      </w:r>
    </w:p>
    <w:p w:rsidR="002915CB" w:rsidRDefault="005D11A6">
      <w:pPr>
        <w:spacing w:after="120" w:line="300" w:lineRule="auto"/>
        <w:jc w:val="both"/>
      </w:pPr>
      <w:r>
        <w:rPr>
          <w:color w:val="000000"/>
        </w:rPr>
        <w:t>La posición de Humanes de Madrid en el sur metropolitano le otorga una excelente conectividad por carretera y ferrocarril, factor determinante en su desarrollo industrial y residencial:</w:t>
      </w:r>
    </w:p>
    <w:p w:rsidR="002915CB" w:rsidRDefault="005D11A6">
      <w:pPr>
        <w:pStyle w:val="Prrafodelista"/>
        <w:numPr>
          <w:ilvl w:val="0"/>
          <w:numId w:val="2"/>
        </w:numPr>
        <w:spacing w:after="80" w:line="280" w:lineRule="auto"/>
        <w:jc w:val="both"/>
      </w:pPr>
      <w:r>
        <w:rPr>
          <w:b/>
          <w:bCs/>
        </w:rPr>
        <w:t xml:space="preserve">Carretera de Toledo (A-42): </w:t>
      </w:r>
      <w:r>
        <w:t>acceso desde Madrid con desvío a Fuenlabra</w:t>
      </w:r>
      <w:r>
        <w:t>da por la M-506 y conexión con Humanes mediante la M-405.</w:t>
      </w:r>
    </w:p>
    <w:p w:rsidR="002915CB" w:rsidRDefault="005D11A6">
      <w:pPr>
        <w:pStyle w:val="Prrafodelista"/>
        <w:numPr>
          <w:ilvl w:val="0"/>
          <w:numId w:val="2"/>
        </w:numPr>
        <w:spacing w:after="80" w:line="280" w:lineRule="auto"/>
        <w:jc w:val="both"/>
      </w:pPr>
      <w:r>
        <w:rPr>
          <w:b/>
          <w:bCs/>
        </w:rPr>
        <w:t xml:space="preserve">Carretera de Extremadura (A-5): </w:t>
      </w:r>
      <w:r>
        <w:t>acceso desde Madrid con desvío a Móstoles por la M-506 hacia Fuenlabrada y desde allí por la M-405.</w:t>
      </w:r>
    </w:p>
    <w:p w:rsidR="002915CB" w:rsidRDefault="005D11A6">
      <w:pPr>
        <w:pStyle w:val="Prrafodelista"/>
        <w:numPr>
          <w:ilvl w:val="0"/>
          <w:numId w:val="2"/>
        </w:numPr>
        <w:spacing w:after="80" w:line="280" w:lineRule="auto"/>
        <w:jc w:val="both"/>
      </w:pPr>
      <w:r>
        <w:rPr>
          <w:b/>
          <w:bCs/>
        </w:rPr>
        <w:t xml:space="preserve">M-405: </w:t>
      </w:r>
      <w:r>
        <w:t>eje Fuenlabrada – Humanes – Griñón.</w:t>
      </w:r>
    </w:p>
    <w:p w:rsidR="002915CB" w:rsidRDefault="005D11A6">
      <w:pPr>
        <w:pStyle w:val="Prrafodelista"/>
        <w:numPr>
          <w:ilvl w:val="0"/>
          <w:numId w:val="2"/>
        </w:numPr>
        <w:spacing w:after="80" w:line="280" w:lineRule="auto"/>
        <w:jc w:val="both"/>
      </w:pPr>
      <w:r>
        <w:rPr>
          <w:b/>
          <w:bCs/>
        </w:rPr>
        <w:t xml:space="preserve">M-407: </w:t>
      </w:r>
      <w:r>
        <w:t>eje Griñón – Humanes – Loranca – Leganés.</w:t>
      </w:r>
    </w:p>
    <w:p w:rsidR="002915CB" w:rsidRDefault="005D11A6">
      <w:pPr>
        <w:pStyle w:val="Prrafodelista"/>
        <w:numPr>
          <w:ilvl w:val="0"/>
          <w:numId w:val="2"/>
        </w:numPr>
        <w:spacing w:after="80" w:line="280" w:lineRule="auto"/>
        <w:jc w:val="both"/>
      </w:pPr>
      <w:r>
        <w:rPr>
          <w:b/>
          <w:bCs/>
        </w:rPr>
        <w:t xml:space="preserve">M-410: </w:t>
      </w:r>
      <w:r>
        <w:t>eje Arroyomolinos – Humanes – Parla – A-42.</w:t>
      </w:r>
    </w:p>
    <w:p w:rsidR="002915CB" w:rsidRDefault="005D11A6">
      <w:pPr>
        <w:pStyle w:val="Prrafodelista"/>
        <w:numPr>
          <w:ilvl w:val="0"/>
          <w:numId w:val="2"/>
        </w:numPr>
        <w:spacing w:after="80" w:line="280" w:lineRule="auto"/>
        <w:jc w:val="both"/>
      </w:pPr>
      <w:r>
        <w:rPr>
          <w:b/>
          <w:bCs/>
        </w:rPr>
        <w:t xml:space="preserve">M-413: </w:t>
      </w:r>
      <w:r>
        <w:t>eje Fuenlabrada – Humanes (polígonos industriales) – Moraleja de Enmedio – Arroyomolinos.</w:t>
      </w:r>
    </w:p>
    <w:p w:rsidR="002915CB" w:rsidRDefault="005D11A6">
      <w:pPr>
        <w:pStyle w:val="Prrafodelista"/>
        <w:numPr>
          <w:ilvl w:val="0"/>
          <w:numId w:val="2"/>
        </w:numPr>
        <w:spacing w:after="80" w:line="280" w:lineRule="auto"/>
        <w:jc w:val="both"/>
      </w:pPr>
      <w:r>
        <w:rPr>
          <w:b/>
          <w:bCs/>
        </w:rPr>
        <w:t xml:space="preserve">M-419: </w:t>
      </w:r>
      <w:r>
        <w:t>eje Polígono de Fuenlabrada – Humanes – Torrejón de la Calz</w:t>
      </w:r>
      <w:r>
        <w:t>ada.</w:t>
      </w:r>
    </w:p>
    <w:p w:rsidR="002915CB" w:rsidRDefault="005D11A6">
      <w:pPr>
        <w:spacing w:after="120" w:line="300" w:lineRule="auto"/>
        <w:jc w:val="both"/>
      </w:pPr>
      <w:r>
        <w:rPr>
          <w:color w:val="000000"/>
        </w:rPr>
        <w:t>En materia de transporte público ferroviario, el municipio cuenta desde 2004 con la Estación de Humanes de Madrid, perteneciente a la línea C-5 de Cercanías Madrid y que actúa como cabecera de línea para parte de los servicios. La oferta de transporte</w:t>
      </w:r>
      <w:r>
        <w:rPr>
          <w:color w:val="000000"/>
        </w:rPr>
        <w:t xml:space="preserve"> se completa con seis líneas de autobús interurbano que conectan el municipio con otras localidades del sur metropolitano y, desde el 22 de mayo de 2023, también con Madrid capital.</w:t>
      </w:r>
    </w:p>
    <w:p w:rsidR="002915CB" w:rsidRDefault="005D11A6">
      <w:pPr>
        <w:spacing w:after="120" w:line="300" w:lineRule="auto"/>
        <w:jc w:val="both"/>
      </w:pPr>
      <w:r>
        <w:rPr>
          <w:color w:val="000000"/>
        </w:rPr>
        <w:t>Humanes alberga asimismo varias de las mayores zonas industriales de la Co</w:t>
      </w:r>
      <w:r>
        <w:rPr>
          <w:color w:val="000000"/>
        </w:rPr>
        <w:t>munidad de Madrid, ubicadas entre las carreteras M-413 (dirección Moraleja de Enmedio) y M-405 (dirección Griñón), que constituyen el principal soporte de su tejido económico.</w:t>
      </w:r>
    </w:p>
    <w:p w:rsidR="002915CB" w:rsidRDefault="005D11A6">
      <w:r>
        <w:br w:type="page"/>
      </w:r>
    </w:p>
    <w:p w:rsidR="002915CB" w:rsidRDefault="005D11A6">
      <w:pPr>
        <w:pStyle w:val="Ttulo1"/>
        <w:pBdr>
          <w:bottom w:val="single" w:sz="12" w:space="4" w:color="1F3864"/>
        </w:pBdr>
      </w:pPr>
      <w:r>
        <w:lastRenderedPageBreak/>
        <w:t>3. Información demográfica</w:t>
      </w:r>
    </w:p>
    <w:p w:rsidR="002915CB" w:rsidRDefault="005D11A6">
      <w:pPr>
        <w:pStyle w:val="Ttulo2"/>
      </w:pPr>
      <w:r>
        <w:t>3.1. Población actual y evolución reciente</w:t>
      </w:r>
    </w:p>
    <w:p w:rsidR="002915CB" w:rsidRDefault="005D11A6">
      <w:pPr>
        <w:spacing w:after="120" w:line="300" w:lineRule="auto"/>
        <w:jc w:val="both"/>
      </w:pPr>
      <w:r>
        <w:rPr>
          <w:color w:val="000000"/>
        </w:rPr>
        <w:t>Según el Censo Anual de Población del Instituto Nacional de Estadística, a 1 de enero de 2025 Humanes de Madrid contaba con 20.549 habitantes, lo que representa un crecimiento del 2,47 % respecto a 2024. La densidad de población se sitúa en 1.043,63 habita</w:t>
      </w:r>
      <w:r>
        <w:rPr>
          <w:color w:val="000000"/>
        </w:rPr>
        <w:t xml:space="preserve">ntes por km², muy por encima de la media de la Comunidad de Madrid (885,82 </w:t>
      </w:r>
      <w:proofErr w:type="spellStart"/>
      <w:r>
        <w:rPr>
          <w:color w:val="000000"/>
        </w:rPr>
        <w:t>hab</w:t>
      </w:r>
      <w:proofErr w:type="spellEnd"/>
      <w:r>
        <w:rPr>
          <w:color w:val="000000"/>
        </w:rPr>
        <w:t>/km²), reflejo del carácter pequeño del término municipal y de su intenso proceso de urbanización.</w:t>
      </w:r>
    </w:p>
    <w:p w:rsidR="002915CB" w:rsidRDefault="005D11A6">
      <w:pPr>
        <w:spacing w:before="160" w:after="80"/>
      </w:pPr>
      <w:r>
        <w:rPr>
          <w:b/>
          <w:bCs/>
          <w:color w:val="1F3864"/>
        </w:rPr>
        <w:t>Tabla 3. Evolución de la población censada (2021-2025)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000"/>
        <w:gridCol w:w="1900"/>
        <w:gridCol w:w="1900"/>
        <w:gridCol w:w="2000"/>
      </w:tblGrid>
      <w:tr w:rsidR="002915CB">
        <w:tblPrEx>
          <w:tblCellMar>
            <w:top w:w="0" w:type="dxa"/>
            <w:bottom w:w="0" w:type="dxa"/>
          </w:tblCellMar>
        </w:tblPrEx>
        <w:trPr>
          <w:tblHeader/>
        </w:trPr>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Año</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Total</w:t>
            </w:r>
          </w:p>
        </w:tc>
        <w:tc>
          <w:tcPr>
            <w:tcW w:w="19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Hombres</w:t>
            </w:r>
          </w:p>
        </w:tc>
        <w:tc>
          <w:tcPr>
            <w:tcW w:w="19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Mujere</w:t>
            </w:r>
            <w:r>
              <w:rPr>
                <w:b/>
                <w:bCs/>
                <w:color w:val="FFFFFF"/>
                <w:sz w:val="20"/>
                <w:szCs w:val="20"/>
              </w:rPr>
              <w:t>s</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Var. anual</w:t>
            </w:r>
          </w:p>
        </w:tc>
      </w:tr>
      <w:tr w:rsidR="002915CB">
        <w:tblPrEx>
          <w:tblCellMar>
            <w:top w:w="0" w:type="dxa"/>
            <w:bottom w:w="0" w:type="dxa"/>
          </w:tblCellMar>
        </w:tblPrEx>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2021</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19.685</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9.784</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9.901</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-0,08 %</w:t>
            </w:r>
          </w:p>
        </w:tc>
      </w:tr>
      <w:tr w:rsidR="002915CB">
        <w:tblPrEx>
          <w:tblCellMar>
            <w:top w:w="0" w:type="dxa"/>
            <w:bottom w:w="0" w:type="dxa"/>
          </w:tblCellMar>
        </w:tblPrEx>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2022</w:t>
            </w:r>
          </w:p>
        </w:tc>
        <w:tc>
          <w:tcPr>
            <w:tcW w:w="20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19.762</w:t>
            </w:r>
          </w:p>
        </w:tc>
        <w:tc>
          <w:tcPr>
            <w:tcW w:w="19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9.830</w:t>
            </w:r>
          </w:p>
        </w:tc>
        <w:tc>
          <w:tcPr>
            <w:tcW w:w="19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9.932</w:t>
            </w:r>
          </w:p>
        </w:tc>
        <w:tc>
          <w:tcPr>
            <w:tcW w:w="20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+0,39 %</w:t>
            </w:r>
          </w:p>
        </w:tc>
      </w:tr>
      <w:tr w:rsidR="002915CB">
        <w:tblPrEx>
          <w:tblCellMar>
            <w:top w:w="0" w:type="dxa"/>
            <w:bottom w:w="0" w:type="dxa"/>
          </w:tblCellMar>
        </w:tblPrEx>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2023</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19.834</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9.881</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9.953</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+0,36 %</w:t>
            </w:r>
          </w:p>
        </w:tc>
      </w:tr>
      <w:tr w:rsidR="002915CB">
        <w:tblPrEx>
          <w:tblCellMar>
            <w:top w:w="0" w:type="dxa"/>
            <w:bottom w:w="0" w:type="dxa"/>
          </w:tblCellMar>
        </w:tblPrEx>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2024</w:t>
            </w:r>
          </w:p>
        </w:tc>
        <w:tc>
          <w:tcPr>
            <w:tcW w:w="20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20.054</w:t>
            </w:r>
          </w:p>
        </w:tc>
        <w:tc>
          <w:tcPr>
            <w:tcW w:w="19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9.970</w:t>
            </w:r>
          </w:p>
        </w:tc>
        <w:tc>
          <w:tcPr>
            <w:tcW w:w="19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10.084</w:t>
            </w:r>
          </w:p>
        </w:tc>
        <w:tc>
          <w:tcPr>
            <w:tcW w:w="20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+1,11 %</w:t>
            </w:r>
          </w:p>
        </w:tc>
      </w:tr>
      <w:tr w:rsidR="002915CB">
        <w:tblPrEx>
          <w:tblCellMar>
            <w:top w:w="0" w:type="dxa"/>
            <w:bottom w:w="0" w:type="dxa"/>
          </w:tblCellMar>
        </w:tblPrEx>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2025</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20.549</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10.270</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10.279</w:t>
            </w: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+2,47 %</w:t>
            </w:r>
          </w:p>
        </w:tc>
      </w:tr>
    </w:tbl>
    <w:p w:rsidR="002915CB" w:rsidRDefault="005D11A6">
      <w:pPr>
        <w:spacing w:before="60" w:after="200" w:line="260" w:lineRule="auto"/>
      </w:pPr>
      <w:r>
        <w:rPr>
          <w:i/>
          <w:iCs/>
          <w:color w:val="595959"/>
          <w:sz w:val="18"/>
          <w:szCs w:val="18"/>
        </w:rPr>
        <w:t>Fuente: Instituto Nacional de Estadística (INE) – Censo Anual de Población; explotación del Instituto de Estadística de la Comunidad de Madrid.</w:t>
      </w:r>
    </w:p>
    <w:p w:rsidR="002915CB" w:rsidRDefault="005D11A6">
      <w:pPr>
        <w:spacing w:after="120" w:line="300" w:lineRule="auto"/>
        <w:jc w:val="both"/>
      </w:pPr>
      <w:r>
        <w:rPr>
          <w:color w:val="000000"/>
        </w:rPr>
        <w:t xml:space="preserve">La evolución histórica de la población muestra que Humanes mantuvo durante cuatro siglos una población estable, </w:t>
      </w:r>
      <w:r>
        <w:rPr>
          <w:color w:val="000000"/>
        </w:rPr>
        <w:t>con un censo aproximado de 1.200 habitantes en la década de 1970. Es a partir de los años 80 cuando comienza una expansión demográfica continuada, ligada a la transformación del municipio en un núcleo industrial y residencial del área metropolitana sur.</w:t>
      </w:r>
    </w:p>
    <w:p w:rsidR="002915CB" w:rsidRDefault="005D11A6">
      <w:pPr>
        <w:pStyle w:val="Ttulo2"/>
      </w:pPr>
      <w:r>
        <w:t>3.</w:t>
      </w:r>
      <w:r>
        <w:t>2. Estructura por edad</w:t>
      </w:r>
    </w:p>
    <w:p w:rsidR="002915CB" w:rsidRDefault="005D11A6">
      <w:pPr>
        <w:spacing w:before="160" w:after="80"/>
      </w:pPr>
      <w:r>
        <w:rPr>
          <w:b/>
          <w:bCs/>
          <w:color w:val="1F3864"/>
        </w:rPr>
        <w:t>Tabla 4. Indicadores estructurales por edad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920"/>
        <w:gridCol w:w="1920"/>
        <w:gridCol w:w="1920"/>
      </w:tblGrid>
      <w:tr w:rsidR="002915CB">
        <w:tblPrEx>
          <w:tblCellMar>
            <w:top w:w="0" w:type="dxa"/>
            <w:bottom w:w="0" w:type="dxa"/>
          </w:tblCellMar>
        </w:tblPrEx>
        <w:trPr>
          <w:tblHeader/>
        </w:trPr>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 xml:space="preserve">Zona Sur </w:t>
            </w:r>
            <w:proofErr w:type="spellStart"/>
            <w:r>
              <w:rPr>
                <w:b/>
                <w:bCs/>
                <w:color w:val="FFFFFF"/>
                <w:sz w:val="20"/>
                <w:szCs w:val="20"/>
              </w:rPr>
              <w:t>Metrop</w:t>
            </w:r>
            <w:proofErr w:type="spellEnd"/>
            <w:r>
              <w:rPr>
                <w:b/>
                <w:bCs/>
                <w:color w:val="FFFFFF"/>
                <w:sz w:val="20"/>
                <w:szCs w:val="20"/>
              </w:rPr>
              <w:t>.</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Grado de juventud</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17,02 %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13,97 %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13,27 %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Grado de envejecimiento</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11,79 %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19,29 %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18,87 %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Proporción de dependencia</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0,40</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0,50</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0,47</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Proporción de reemplazamiento</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0,77</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0,75</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0,82</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Razón de progresividad</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72,85</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74,39</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81,65</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Tasa de feminidad</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1,00</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1,05</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1,09</w:t>
            </w:r>
          </w:p>
        </w:tc>
      </w:tr>
    </w:tbl>
    <w:p w:rsidR="002915CB" w:rsidRDefault="005D11A6">
      <w:pPr>
        <w:spacing w:before="60" w:after="200" w:line="260" w:lineRule="auto"/>
      </w:pPr>
      <w:r>
        <w:rPr>
          <w:i/>
          <w:iCs/>
          <w:color w:val="595959"/>
          <w:sz w:val="18"/>
          <w:szCs w:val="18"/>
        </w:rPr>
        <w:t>Fuente: Instituto de Estadística de la Comunidad de Madrid – Almudena. Datos a 1 de enero de 2025.</w:t>
      </w:r>
    </w:p>
    <w:p w:rsidR="002915CB" w:rsidRDefault="005D11A6">
      <w:pPr>
        <w:spacing w:after="120" w:line="300" w:lineRule="auto"/>
        <w:jc w:val="both"/>
      </w:pPr>
      <w:r>
        <w:rPr>
          <w:color w:val="000000"/>
        </w:rPr>
        <w:t xml:space="preserve">La estructura demográfica de Humanes destaca por su elevado grado de juventud (17,02 %, frente al 13,27 % regional) y un grado de envejecimiento sensiblemente inferior al de la Comunidad de Madrid (11,79 % frente a 18,87 %). Estos indicadores configuran a </w:t>
      </w:r>
      <w:r>
        <w:rPr>
          <w:color w:val="000000"/>
        </w:rPr>
        <w:t xml:space="preserve">Humanes como un municipio </w:t>
      </w:r>
      <w:r>
        <w:rPr>
          <w:color w:val="000000"/>
        </w:rPr>
        <w:lastRenderedPageBreak/>
        <w:t>comparativamente joven dentro del entorno metropolitano, con menores tasas de dependencia que el conjunto autonómico.</w:t>
      </w:r>
    </w:p>
    <w:p w:rsidR="002915CB" w:rsidRDefault="005D11A6">
      <w:pPr>
        <w:pStyle w:val="Ttulo2"/>
      </w:pPr>
      <w:r>
        <w:t>3.3. Población extranjera</w:t>
      </w:r>
    </w:p>
    <w:p w:rsidR="002915CB" w:rsidRDefault="005D11A6">
      <w:pPr>
        <w:spacing w:after="120" w:line="300" w:lineRule="auto"/>
        <w:jc w:val="both"/>
      </w:pPr>
      <w:r>
        <w:rPr>
          <w:color w:val="000000"/>
        </w:rPr>
        <w:t xml:space="preserve">A 1 de enero de 2025, </w:t>
      </w:r>
      <w:proofErr w:type="gramStart"/>
      <w:r>
        <w:rPr>
          <w:color w:val="000000"/>
        </w:rPr>
        <w:t>el ratio</w:t>
      </w:r>
      <w:proofErr w:type="gramEnd"/>
      <w:r>
        <w:rPr>
          <w:color w:val="000000"/>
        </w:rPr>
        <w:t xml:space="preserve"> de población extranjera censada en Humanes de Madrid se</w:t>
      </w:r>
      <w:r>
        <w:rPr>
          <w:color w:val="000000"/>
        </w:rPr>
        <w:t xml:space="preserve"> sitúa en 135,92 por mil habitantes, ligeramente inferior a la media de la zona Sur Metropolitano (148,40 ‰) y notablemente inferior a la del conjunto de la Comunidad de Madrid (166,06 ‰). La distribución por procedencia continental muestra el siguiente pe</w:t>
      </w:r>
      <w:r>
        <w:rPr>
          <w:color w:val="000000"/>
        </w:rPr>
        <w:t>rfil:</w:t>
      </w:r>
    </w:p>
    <w:p w:rsidR="002915CB" w:rsidRDefault="005D11A6">
      <w:pPr>
        <w:spacing w:before="160" w:after="80"/>
      </w:pPr>
      <w:r>
        <w:rPr>
          <w:b/>
          <w:bCs/>
          <w:color w:val="1F3864"/>
        </w:rPr>
        <w:t>Tabla 5. Población extranjera por continente de procedencia (% sobre total,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920"/>
        <w:gridCol w:w="1920"/>
        <w:gridCol w:w="1920"/>
      </w:tblGrid>
      <w:tr w:rsidR="002915CB">
        <w:tblPrEx>
          <w:tblCellMar>
            <w:top w:w="0" w:type="dxa"/>
            <w:bottom w:w="0" w:type="dxa"/>
          </w:tblCellMar>
        </w:tblPrEx>
        <w:trPr>
          <w:tblHeader/>
        </w:trPr>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Continente de procedencia</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 xml:space="preserve">Zona Sur </w:t>
            </w:r>
            <w:proofErr w:type="spellStart"/>
            <w:r>
              <w:rPr>
                <w:b/>
                <w:bCs/>
                <w:color w:val="FFFFFF"/>
                <w:sz w:val="20"/>
                <w:szCs w:val="20"/>
              </w:rPr>
              <w:t>Metrop</w:t>
            </w:r>
            <w:proofErr w:type="spellEnd"/>
            <w:r>
              <w:rPr>
                <w:b/>
                <w:bCs/>
                <w:color w:val="FFFFFF"/>
                <w:sz w:val="20"/>
                <w:szCs w:val="20"/>
              </w:rPr>
              <w:t>.</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África</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4,85 %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2,59 %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1,53 %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Sudamérica</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3,31 %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5,79 %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6,70 %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Asia</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1,20 %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1,29 %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1,66 %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Centroamérica y Caribe</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0,73 %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0,99 %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1,52 %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América del Norte</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0,01 %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0,09 %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0,40 %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Oceanía</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0,00 %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0,00 %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0,01 %</w:t>
            </w:r>
          </w:p>
        </w:tc>
      </w:tr>
    </w:tbl>
    <w:p w:rsidR="002915CB" w:rsidRDefault="005D11A6">
      <w:pPr>
        <w:spacing w:before="60" w:after="200" w:line="260" w:lineRule="auto"/>
      </w:pPr>
      <w:r>
        <w:rPr>
          <w:i/>
          <w:iCs/>
          <w:color w:val="595959"/>
          <w:sz w:val="18"/>
          <w:szCs w:val="18"/>
        </w:rPr>
        <w:t>Fuente: Instituto Nacional de Estadística – Estadística Continua de Población; explotación Almudena.</w:t>
      </w:r>
    </w:p>
    <w:p w:rsidR="002915CB" w:rsidRDefault="005D11A6">
      <w:pPr>
        <w:pStyle w:val="Ttulo2"/>
      </w:pPr>
      <w:r>
        <w:t>3.4. Movimiento natural y migraciones</w:t>
      </w:r>
    </w:p>
    <w:p w:rsidR="002915CB" w:rsidRDefault="005D11A6">
      <w:pPr>
        <w:spacing w:before="160" w:after="80"/>
      </w:pPr>
      <w:r>
        <w:rPr>
          <w:b/>
          <w:bCs/>
          <w:color w:val="1F3864"/>
        </w:rPr>
        <w:t>Tabla 6. Movimiento natural de la población (2020-2024)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200"/>
        <w:gridCol w:w="1200"/>
        <w:gridCol w:w="1200"/>
        <w:gridCol w:w="1200"/>
        <w:gridCol w:w="1200"/>
      </w:tblGrid>
      <w:tr w:rsidR="002915CB">
        <w:tblPrEx>
          <w:tblCellMar>
            <w:top w:w="0" w:type="dxa"/>
            <w:bottom w:w="0" w:type="dxa"/>
          </w:tblCellMar>
        </w:tblPrEx>
        <w:trPr>
          <w:tblHeader/>
        </w:trPr>
        <w:tc>
          <w:tcPr>
            <w:tcW w:w="33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2020</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2021</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2022</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2023</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2024</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Nacimientos</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161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160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154</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174</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Defunciones</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80</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96</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66</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69</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Crecimiento vegetativo</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82</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64</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88</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105</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Matrimonios</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34</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72</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79</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97</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w:t>
            </w:r>
          </w:p>
        </w:tc>
      </w:tr>
    </w:tbl>
    <w:p w:rsidR="002915CB" w:rsidRDefault="005D11A6">
      <w:pPr>
        <w:spacing w:before="60" w:after="200" w:line="260" w:lineRule="auto"/>
      </w:pPr>
      <w:r>
        <w:rPr>
          <w:i/>
          <w:iCs/>
          <w:color w:val="595959"/>
          <w:sz w:val="18"/>
          <w:szCs w:val="18"/>
        </w:rPr>
        <w:t>Fuente: INE – Movimiento Natural de la Población; explotación del Instituto de Estadística de la Comunidad de Madrid.</w:t>
      </w:r>
    </w:p>
    <w:p w:rsidR="002915CB" w:rsidRDefault="005D11A6">
      <w:pPr>
        <w:spacing w:after="120" w:line="300" w:lineRule="auto"/>
        <w:jc w:val="both"/>
      </w:pPr>
      <w:r>
        <w:rPr>
          <w:color w:val="000000"/>
        </w:rPr>
        <w:t>El crecimiento vegetativo del municipio se mantiene en valores positivos a lo largo de toda la serie analizada, alcanzando un saldo de 105</w:t>
      </w:r>
      <w:r>
        <w:rPr>
          <w:color w:val="000000"/>
        </w:rPr>
        <w:t xml:space="preserve"> personas en 2024. Este comportamiento, combinado con un saldo migratorio igualmente positivo, explica el dinamismo demográfico de Humanes en el último quinquenio.</w:t>
      </w:r>
    </w:p>
    <w:p w:rsidR="002915CB" w:rsidRDefault="005D11A6">
      <w:r>
        <w:br w:type="page"/>
      </w:r>
    </w:p>
    <w:p w:rsidR="002915CB" w:rsidRDefault="005D11A6">
      <w:pPr>
        <w:pStyle w:val="Ttulo1"/>
        <w:pBdr>
          <w:bottom w:val="single" w:sz="12" w:space="4" w:color="1F3864"/>
        </w:pBdr>
      </w:pPr>
      <w:r>
        <w:lastRenderedPageBreak/>
        <w:t>4. Información económica</w:t>
      </w:r>
    </w:p>
    <w:p w:rsidR="002915CB" w:rsidRDefault="005D11A6">
      <w:pPr>
        <w:pStyle w:val="Ttulo2"/>
      </w:pPr>
      <w:r>
        <w:t>4.1. Macromagnitudes económicas</w:t>
      </w:r>
    </w:p>
    <w:p w:rsidR="002915CB" w:rsidRDefault="005D11A6">
      <w:pPr>
        <w:spacing w:after="120" w:line="300" w:lineRule="auto"/>
        <w:jc w:val="both"/>
      </w:pPr>
      <w:r>
        <w:rPr>
          <w:color w:val="000000"/>
        </w:rPr>
        <w:t>El Producto Interior Bruto Munici</w:t>
      </w:r>
      <w:r>
        <w:rPr>
          <w:color w:val="000000"/>
        </w:rPr>
        <w:t>pal (</w:t>
      </w:r>
      <w:proofErr w:type="spellStart"/>
      <w:r>
        <w:rPr>
          <w:color w:val="000000"/>
        </w:rPr>
        <w:t>PIBm</w:t>
      </w:r>
      <w:proofErr w:type="spellEnd"/>
      <w:r>
        <w:rPr>
          <w:color w:val="000000"/>
        </w:rPr>
        <w:t>) de Humanes de Madrid en el ejercicio 2023 ascendió a 1.113.751 miles de euros, equivalente a un PIB per cápita de 55.962 euros. Esta cifra sitúa al municipio en una posición notablemente superior a la media de la zona Sur Metropolitano (27.305 €</w:t>
      </w:r>
      <w:r>
        <w:rPr>
          <w:color w:val="000000"/>
        </w:rPr>
        <w:t>) y por encima de la media de la Comunidad de Madrid (43.413 €), reflejando el peso del tejido industrial localizado en el término municipal.</w:t>
      </w:r>
    </w:p>
    <w:p w:rsidR="002915CB" w:rsidRDefault="005D11A6">
      <w:pPr>
        <w:spacing w:before="160" w:after="80"/>
      </w:pPr>
      <w:r>
        <w:rPr>
          <w:b/>
          <w:bCs/>
          <w:color w:val="1F3864"/>
        </w:rPr>
        <w:t>Tabla 7. Producto Interior Bruto Municipal (miles de euros)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915CB">
        <w:tblPrEx>
          <w:tblCellMar>
            <w:top w:w="0" w:type="dxa"/>
            <w:bottom w:w="0" w:type="dxa"/>
          </w:tblCellMar>
        </w:tblPrEx>
        <w:trPr>
          <w:tblHeader/>
        </w:trPr>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Año</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PIB total (miles €)</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PIB per cápita (€)</w:t>
            </w:r>
          </w:p>
        </w:tc>
      </w:tr>
      <w:tr w:rsidR="002915CB">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2021</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931.314</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47.189</w:t>
            </w:r>
          </w:p>
        </w:tc>
      </w:tr>
      <w:tr w:rsidR="002915CB">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2022</w:t>
            </w:r>
          </w:p>
        </w:tc>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1.064.692</w:t>
            </w:r>
          </w:p>
        </w:tc>
        <w:tc>
          <w:tcPr>
            <w:tcW w:w="31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53.669</w:t>
            </w:r>
          </w:p>
        </w:tc>
      </w:tr>
      <w:tr w:rsidR="002915CB">
        <w:tblPrEx>
          <w:tblCellMar>
            <w:top w:w="0" w:type="dxa"/>
            <w:bottom w:w="0" w:type="dxa"/>
          </w:tblCellMar>
        </w:tblPrEx>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2023</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1.113.751</w:t>
            </w:r>
          </w:p>
        </w:tc>
        <w:tc>
          <w:tcPr>
            <w:tcW w:w="31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55.962</w:t>
            </w:r>
          </w:p>
        </w:tc>
      </w:tr>
    </w:tbl>
    <w:p w:rsidR="002915CB" w:rsidRDefault="005D11A6">
      <w:pPr>
        <w:spacing w:before="60" w:after="200" w:line="260" w:lineRule="auto"/>
      </w:pPr>
      <w:r>
        <w:rPr>
          <w:i/>
          <w:iCs/>
          <w:color w:val="595959"/>
          <w:sz w:val="18"/>
          <w:szCs w:val="18"/>
        </w:rPr>
        <w:t>Fuente: Instituto de Estadística de la Comunidad de Madrid – Almudena. Macromagnitudes municipales.</w:t>
      </w:r>
    </w:p>
    <w:p w:rsidR="002915CB" w:rsidRDefault="005D11A6">
      <w:pPr>
        <w:pStyle w:val="Ttulo3"/>
      </w:pPr>
      <w:r>
        <w:t>4.1.1. Estructura sectorial del PIB</w:t>
      </w:r>
    </w:p>
    <w:p w:rsidR="002915CB" w:rsidRDefault="005D11A6">
      <w:pPr>
        <w:spacing w:after="120" w:line="300" w:lineRule="auto"/>
        <w:jc w:val="both"/>
      </w:pPr>
      <w:r>
        <w:rPr>
          <w:color w:val="000000"/>
        </w:rPr>
        <w:t>La composición sectorial del PIB municipal en 2023 evidencia el marcado carácter industrial-logístico de Humanes de Madrid, donde el peso conjunto de la industria y la construcción (51,85 %) supera de forma notable a la media regional, en la que predominan</w:t>
      </w:r>
      <w:r>
        <w:rPr>
          <w:color w:val="000000"/>
        </w:rPr>
        <w:t xml:space="preserve"> los servicios:</w:t>
      </w:r>
    </w:p>
    <w:p w:rsidR="002915CB" w:rsidRDefault="005D11A6">
      <w:pPr>
        <w:spacing w:before="160" w:after="80"/>
      </w:pPr>
      <w:r>
        <w:rPr>
          <w:b/>
          <w:bCs/>
          <w:color w:val="1F3864"/>
        </w:rPr>
        <w:t>Tabla 8. Estructura sectorial del PIB municipal (% sobre el total, 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920"/>
        <w:gridCol w:w="1920"/>
        <w:gridCol w:w="1920"/>
      </w:tblGrid>
      <w:tr w:rsidR="002915CB">
        <w:tblPrEx>
          <w:tblCellMar>
            <w:top w:w="0" w:type="dxa"/>
            <w:bottom w:w="0" w:type="dxa"/>
          </w:tblCellMar>
        </w:tblPrEx>
        <w:trPr>
          <w:tblHeader/>
        </w:trPr>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Sector</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 xml:space="preserve">Zona Sur </w:t>
            </w:r>
            <w:proofErr w:type="spellStart"/>
            <w:r>
              <w:rPr>
                <w:b/>
                <w:bCs/>
                <w:color w:val="FFFFFF"/>
                <w:sz w:val="20"/>
                <w:szCs w:val="20"/>
              </w:rPr>
              <w:t>Metrop</w:t>
            </w:r>
            <w:proofErr w:type="spellEnd"/>
            <w:r>
              <w:rPr>
                <w:b/>
                <w:bCs/>
                <w:color w:val="FFFFFF"/>
                <w:sz w:val="20"/>
                <w:szCs w:val="20"/>
              </w:rPr>
              <w:t>.</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Agricultura y ganadería</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0,08 %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0,14 %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0,08 %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Minería, industria y energía</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32,98 %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14,38 %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9,24 %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Construcción</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18,87 %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10,71 %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6,66 %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Servicios distribución y hostelería</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30,51 %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30,38 %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21,60 %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Servicios a empresas y financieros</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10,88 %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25,00 %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43,53 %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Otros servicios</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6,67 %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19,39 %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18,88 %</w:t>
            </w:r>
          </w:p>
        </w:tc>
      </w:tr>
    </w:tbl>
    <w:p w:rsidR="002915CB" w:rsidRDefault="005D11A6">
      <w:pPr>
        <w:spacing w:before="60" w:after="200" w:line="260" w:lineRule="auto"/>
      </w:pPr>
      <w:r>
        <w:rPr>
          <w:i/>
          <w:iCs/>
          <w:color w:val="595959"/>
          <w:sz w:val="18"/>
          <w:szCs w:val="18"/>
        </w:rPr>
        <w:t>Fuente: Instituto de Estadística de la Comunidad de Madrid – Almudena.</w:t>
      </w:r>
    </w:p>
    <w:p w:rsidR="002915CB" w:rsidRDefault="005D11A6">
      <w:pPr>
        <w:pStyle w:val="Ttulo3"/>
      </w:pPr>
      <w:r>
        <w:t>4.1.2. Renta disponible y rendimientos del IRPF</w:t>
      </w:r>
    </w:p>
    <w:p w:rsidR="002915CB" w:rsidRDefault="005D11A6">
      <w:pPr>
        <w:spacing w:before="160" w:after="80"/>
      </w:pPr>
      <w:r>
        <w:rPr>
          <w:b/>
          <w:bCs/>
          <w:color w:val="1F3864"/>
        </w:rPr>
        <w:t>Tabla 9. Indicadores de renta y fiscalidad (IRPF)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500"/>
        <w:gridCol w:w="1500"/>
        <w:gridCol w:w="1500"/>
        <w:gridCol w:w="1500"/>
      </w:tblGrid>
      <w:tr w:rsidR="002915CB">
        <w:tblPrEx>
          <w:tblCellMar>
            <w:top w:w="0" w:type="dxa"/>
            <w:bottom w:w="0" w:type="dxa"/>
          </w:tblCellMar>
        </w:tblPrEx>
        <w:trPr>
          <w:tblHeader/>
        </w:trPr>
        <w:tc>
          <w:tcPr>
            <w:tcW w:w="33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15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2020</w:t>
            </w:r>
          </w:p>
        </w:tc>
        <w:tc>
          <w:tcPr>
            <w:tcW w:w="15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2021</w:t>
            </w:r>
          </w:p>
        </w:tc>
        <w:tc>
          <w:tcPr>
            <w:tcW w:w="15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2022</w:t>
            </w:r>
          </w:p>
        </w:tc>
        <w:tc>
          <w:tcPr>
            <w:tcW w:w="15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2023</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Declaraciones IRPF (</w:t>
            </w:r>
            <w:proofErr w:type="spellStart"/>
            <w:r>
              <w:rPr>
                <w:b/>
                <w:bCs/>
                <w:color w:val="000000"/>
                <w:sz w:val="20"/>
                <w:szCs w:val="20"/>
              </w:rPr>
              <w:t>nº</w:t>
            </w:r>
            <w:proofErr w:type="spellEnd"/>
            <w:r>
              <w:rPr>
                <w:b/>
                <w:bCs/>
                <w:color w:val="000000"/>
                <w:sz w:val="20"/>
                <w:szCs w:val="20"/>
              </w:rPr>
              <w:t>)</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9.003</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9.119</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9.641</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10.081</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Base imponible media (miles €)</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17,34</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18,43</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19,55</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19,93</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Rendimiento del trabajo (%)</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91,11</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88,55</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88,76</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89,61</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lastRenderedPageBreak/>
              <w:t>Renta Disponible Bruta per cápita (€)</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12.043</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12.883</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13.884</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14.867</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Renta Disponible (% sobre media regional)</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61,6</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62,9</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63,8</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64,2</w:t>
            </w:r>
          </w:p>
        </w:tc>
      </w:tr>
    </w:tbl>
    <w:p w:rsidR="002915CB" w:rsidRDefault="005D11A6">
      <w:pPr>
        <w:spacing w:before="60" w:after="200" w:line="260" w:lineRule="auto"/>
      </w:pPr>
      <w:r>
        <w:rPr>
          <w:i/>
          <w:iCs/>
          <w:color w:val="595959"/>
          <w:sz w:val="18"/>
          <w:szCs w:val="18"/>
        </w:rPr>
        <w:t>Fuente: Agencia Estatal de Administración Tributaria (AEAT); Indicador de Renta Disponible Bruta Municipal – Instituto de Estadística de la Comunidad de Madrid.</w:t>
      </w:r>
    </w:p>
    <w:p w:rsidR="002915CB" w:rsidRDefault="005D11A6">
      <w:pPr>
        <w:spacing w:after="120" w:line="300" w:lineRule="auto"/>
        <w:jc w:val="both"/>
      </w:pPr>
      <w:r>
        <w:rPr>
          <w:color w:val="000000"/>
        </w:rPr>
        <w:t>El Indicador de Renta Disponible Bruta Municipal per cápita alcanzó en 2023 los 14.867 euros, e</w:t>
      </w:r>
      <w:r>
        <w:rPr>
          <w:color w:val="000000"/>
        </w:rPr>
        <w:t>quivalente al 64,2 % de la media de la Comunidad de Madrid (23.159 €). La base imponible media por declaración del IRPF (19,93 miles de euros) se sitúa por debajo de la media regional (33,45) y zonal (23,42), con un peso muy elevado de los rendimientos del</w:t>
      </w:r>
      <w:r>
        <w:rPr>
          <w:color w:val="000000"/>
        </w:rPr>
        <w:t xml:space="preserve"> trabajo (89,61 %).</w:t>
      </w:r>
    </w:p>
    <w:p w:rsidR="002915CB" w:rsidRDefault="005D11A6">
      <w:pPr>
        <w:pStyle w:val="Ttulo2"/>
      </w:pPr>
      <w:r>
        <w:t>4.2. Mercado de trabajo</w:t>
      </w:r>
    </w:p>
    <w:p w:rsidR="002915CB" w:rsidRDefault="005D11A6">
      <w:pPr>
        <w:pStyle w:val="Ttulo3"/>
      </w:pPr>
      <w:r>
        <w:t>4.2.1. Afiliados a la Seguridad Social</w:t>
      </w:r>
    </w:p>
    <w:p w:rsidR="002915CB" w:rsidRDefault="005D11A6">
      <w:pPr>
        <w:spacing w:after="120" w:line="300" w:lineRule="auto"/>
        <w:jc w:val="both"/>
      </w:pPr>
      <w:r>
        <w:rPr>
          <w:color w:val="000000"/>
        </w:rPr>
        <w:t>El número de afiliados a la Seguridad Social por cada 1.000 habitantes según ubicación del centro de trabajo asciende en 2025 a 558,54, ligeramente por encima de la media de la Comunidad de Madrid (540,89) y muy por encima de la media zonal (301,06), refle</w:t>
      </w:r>
      <w:r>
        <w:rPr>
          <w:color w:val="000000"/>
        </w:rPr>
        <w:t>jando la importante implantación empresarial localizada en el término municipal.</w:t>
      </w:r>
    </w:p>
    <w:p w:rsidR="002915CB" w:rsidRDefault="005D11A6">
      <w:pPr>
        <w:spacing w:before="160" w:after="80"/>
      </w:pPr>
      <w:r>
        <w:rPr>
          <w:b/>
          <w:bCs/>
          <w:color w:val="1F3864"/>
        </w:rPr>
        <w:t>Tabla 10. Afiliados a la Seguridad Social por rama de actividad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2915CB">
        <w:tblPrEx>
          <w:tblCellMar>
            <w:top w:w="0" w:type="dxa"/>
            <w:bottom w:w="0" w:type="dxa"/>
          </w:tblCellMar>
        </w:tblPrEx>
        <w:trPr>
          <w:tblHeader/>
        </w:trPr>
        <w:tc>
          <w:tcPr>
            <w:tcW w:w="57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Rama de actividad</w:t>
            </w:r>
          </w:p>
        </w:tc>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Afiliados</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Agricultura y ganadería</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Minería, industria y energía</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3.740</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Construcción</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2.095</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Servicios de distribución y hostelería</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3.665</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Servicios a empresas y financieros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875</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Otros servicios</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990</w:t>
            </w:r>
          </w:p>
        </w:tc>
      </w:tr>
    </w:tbl>
    <w:p w:rsidR="002915CB" w:rsidRDefault="005D11A6">
      <w:pPr>
        <w:spacing w:before="60" w:after="200" w:line="260" w:lineRule="auto"/>
      </w:pPr>
      <w:r>
        <w:rPr>
          <w:i/>
          <w:iCs/>
          <w:color w:val="595959"/>
          <w:sz w:val="18"/>
          <w:szCs w:val="18"/>
        </w:rPr>
        <w:t>Fuente: Tesorería General de la Seguridad Social; explotación del Instituto de Estadística de la Comunidad de Madrid.</w:t>
      </w:r>
    </w:p>
    <w:p w:rsidR="002915CB" w:rsidRDefault="005D11A6">
      <w:pPr>
        <w:pStyle w:val="Ttulo3"/>
      </w:pPr>
      <w:r>
        <w:t>4.2.2. Paro registrado</w:t>
      </w:r>
    </w:p>
    <w:p w:rsidR="002915CB" w:rsidRDefault="005D11A6">
      <w:pPr>
        <w:spacing w:after="120" w:line="300" w:lineRule="auto"/>
        <w:jc w:val="both"/>
      </w:pPr>
      <w:r>
        <w:rPr>
          <w:color w:val="000000"/>
        </w:rPr>
        <w:t>La tasa de paro registrado sobre la población se sitúa en 2025 en el 5,37 %, ligeramente por encima de la media de la zona Sur Metropolitano (4,70 %) y de la Comunidad de Madrid (4,12 %). La distribución por sexo refleja un mayor pes</w:t>
      </w:r>
      <w:r>
        <w:rPr>
          <w:color w:val="000000"/>
        </w:rPr>
        <w:t>o del paro femenino (64,18 %) sobre el masculino (35,82 %), patrón coherente con el conjunto autonómico.</w:t>
      </w:r>
    </w:p>
    <w:p w:rsidR="002915CB" w:rsidRDefault="005D11A6">
      <w:pPr>
        <w:spacing w:before="160" w:after="80"/>
      </w:pPr>
      <w:r>
        <w:rPr>
          <w:b/>
          <w:bCs/>
          <w:color w:val="1F3864"/>
        </w:rPr>
        <w:t>Tabla 11. Paro registrado y contratación (2021-2025)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200"/>
        <w:gridCol w:w="1200"/>
        <w:gridCol w:w="1200"/>
        <w:gridCol w:w="1200"/>
        <w:gridCol w:w="1200"/>
      </w:tblGrid>
      <w:tr w:rsidR="002915CB">
        <w:tblPrEx>
          <w:tblCellMar>
            <w:top w:w="0" w:type="dxa"/>
            <w:bottom w:w="0" w:type="dxa"/>
          </w:tblCellMar>
        </w:tblPrEx>
        <w:trPr>
          <w:tblHeader/>
        </w:trPr>
        <w:tc>
          <w:tcPr>
            <w:tcW w:w="33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2021</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2022</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2023</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2024</w:t>
            </w:r>
          </w:p>
        </w:tc>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2025</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Paro registrado (% s/población)</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8,11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6,40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5,87</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5,89</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5,37</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Variación relativa anual (%)</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18,08</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-20,69</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-7,88</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1,11</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-6,94</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lastRenderedPageBreak/>
              <w:t>Mujeres en paro (%)</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63,81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65,72</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65,01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65,82</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64,18</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Menores 25 años en paro (%)</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10,81</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8,12</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9,92</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10,58</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9,73</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Contratos indefinidos (%)</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23,41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53,50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64,73</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65,56</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59,53</w:t>
            </w:r>
          </w:p>
        </w:tc>
      </w:tr>
      <w:tr w:rsidR="002915CB">
        <w:tblPrEx>
          <w:tblCellMar>
            <w:top w:w="0" w:type="dxa"/>
            <w:bottom w:w="0" w:type="dxa"/>
          </w:tblCellMar>
        </w:tblPrEx>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Contratos temporales (%)</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76,59</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46,50</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35,27</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34,44</w:t>
            </w:r>
          </w:p>
        </w:tc>
        <w:tc>
          <w:tcPr>
            <w:tcW w:w="1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40,47</w:t>
            </w:r>
          </w:p>
        </w:tc>
      </w:tr>
    </w:tbl>
    <w:p w:rsidR="002915CB" w:rsidRDefault="005D11A6">
      <w:pPr>
        <w:spacing w:before="60" w:after="200" w:line="260" w:lineRule="auto"/>
      </w:pPr>
      <w:r>
        <w:rPr>
          <w:i/>
          <w:iCs/>
          <w:color w:val="595959"/>
          <w:sz w:val="18"/>
          <w:szCs w:val="18"/>
        </w:rPr>
        <w:t>Fuente: Servicio Público de Empleo Estatal (SEPE) y Consejería de Economía, Hacienda y Empleo de la Comunidad de Madrid.</w:t>
      </w:r>
    </w:p>
    <w:p w:rsidR="002915CB" w:rsidRDefault="005D11A6">
      <w:pPr>
        <w:pStyle w:val="Ttulo2"/>
      </w:pPr>
      <w:r>
        <w:t>4.3. Estructura productiva: unidades empresariales</w:t>
      </w:r>
    </w:p>
    <w:p w:rsidR="002915CB" w:rsidRDefault="005D11A6">
      <w:pPr>
        <w:spacing w:after="120" w:line="300" w:lineRule="auto"/>
        <w:jc w:val="both"/>
      </w:pPr>
      <w:r>
        <w:rPr>
          <w:color w:val="000000"/>
        </w:rPr>
        <w:t>El tejido empresarial del municipio se caracteriza por una elevada densidad de unidades productivas por habitante, especialmente en los sectores de construcción, comercio y hostelería, y metal:</w:t>
      </w:r>
    </w:p>
    <w:p w:rsidR="002915CB" w:rsidRDefault="005D11A6">
      <w:pPr>
        <w:spacing w:before="160" w:after="80"/>
      </w:pPr>
      <w:r>
        <w:rPr>
          <w:b/>
          <w:bCs/>
          <w:color w:val="1F3864"/>
        </w:rPr>
        <w:t>Tabla 12. Unidades productivas por 1.000 habitantes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1560"/>
        <w:gridCol w:w="1560"/>
        <w:gridCol w:w="1560"/>
      </w:tblGrid>
      <w:tr w:rsidR="002915CB">
        <w:tblPrEx>
          <w:tblCellMar>
            <w:top w:w="0" w:type="dxa"/>
            <w:bottom w:w="0" w:type="dxa"/>
          </w:tblCellMar>
        </w:tblPrEx>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Rama de actividad</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 xml:space="preserve">Zona Sur </w:t>
            </w:r>
            <w:proofErr w:type="spellStart"/>
            <w:r>
              <w:rPr>
                <w:b/>
                <w:bCs/>
                <w:color w:val="FFFFFF"/>
                <w:sz w:val="20"/>
                <w:szCs w:val="20"/>
              </w:rPr>
              <w:t>Metrop</w:t>
            </w:r>
            <w:proofErr w:type="spellEnd"/>
            <w:r>
              <w:rPr>
                <w:b/>
                <w:bCs/>
                <w:color w:val="FFFFFF"/>
                <w:sz w:val="20"/>
                <w:szCs w:val="20"/>
              </w:rPr>
              <w:t>.</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Agricultura, ganadería, caza, selvicultura y pesca</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0,93</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8,82</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0,67</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Alimentación e industria textil</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3,95</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11,29</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0,71</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Metal</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19,71</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37,54</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1,03</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Construcción</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32,54</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152,64</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9,50</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Comercio y hostelería</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57,61</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311,79</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24,24</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Actividades financieras y de seguros</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1,41</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16,80</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2,51</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Administraciones públicas, educación y sanidad</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4,39</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75,91</w:t>
            </w:r>
          </w:p>
        </w:tc>
        <w:tc>
          <w:tcPr>
            <w:tcW w:w="1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9,78</w:t>
            </w:r>
          </w:p>
        </w:tc>
      </w:tr>
    </w:tbl>
    <w:p w:rsidR="002915CB" w:rsidRDefault="005D11A6">
      <w:pPr>
        <w:spacing w:before="60" w:after="200" w:line="260" w:lineRule="auto"/>
      </w:pPr>
      <w:r>
        <w:rPr>
          <w:i/>
          <w:iCs/>
          <w:color w:val="595959"/>
          <w:sz w:val="18"/>
          <w:szCs w:val="18"/>
        </w:rPr>
        <w:t>Fuente: Instituto de Estadística de la Comunidad de Madrid – Almudena. Directorio de Unidades de Actividad Económica.</w:t>
      </w:r>
    </w:p>
    <w:p w:rsidR="002915CB" w:rsidRDefault="005D11A6">
      <w:r>
        <w:br w:type="page"/>
      </w:r>
    </w:p>
    <w:p w:rsidR="002915CB" w:rsidRDefault="005D11A6">
      <w:pPr>
        <w:pStyle w:val="Ttulo1"/>
        <w:pBdr>
          <w:bottom w:val="single" w:sz="12" w:space="4" w:color="1F3864"/>
        </w:pBdr>
      </w:pPr>
      <w:r>
        <w:lastRenderedPageBreak/>
        <w:t>5. Información estadística complementaria</w:t>
      </w:r>
    </w:p>
    <w:p w:rsidR="002915CB" w:rsidRDefault="005D11A6">
      <w:pPr>
        <w:pStyle w:val="Ttulo2"/>
      </w:pPr>
      <w:r>
        <w:t>5.1. Vivienda y régimen de tenencia</w:t>
      </w:r>
    </w:p>
    <w:p w:rsidR="002915CB" w:rsidRDefault="005D11A6">
      <w:pPr>
        <w:spacing w:before="160" w:after="80"/>
      </w:pPr>
      <w:r>
        <w:rPr>
          <w:b/>
          <w:bCs/>
          <w:color w:val="1F3864"/>
        </w:rPr>
        <w:t>Tabla 13. Viviendas familiares (Censo de Población y Viviendas, 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2915CB">
        <w:tblPrEx>
          <w:tblCellMar>
            <w:top w:w="0" w:type="dxa"/>
            <w:bottom w:w="0" w:type="dxa"/>
          </w:tblCellMar>
        </w:tblPrEx>
        <w:trPr>
          <w:tblHeader/>
        </w:trPr>
        <w:tc>
          <w:tcPr>
            <w:tcW w:w="57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Valor</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Viviendas familiares convencionales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7.317</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Viviendas principales (%)</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89,90 %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Viviendas no principales (%)</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10,10 %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En edificio residencial (%)</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99,52 %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En edificio no residencial (%)</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0,23 %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Régimen de tenencia: en propiedad</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71,26 %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Régimen de tenencia: en alquiler</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14,17 %</w:t>
            </w:r>
          </w:p>
        </w:tc>
      </w:tr>
      <w:tr w:rsidR="002915CB">
        <w:tblPrEx>
          <w:tblCellMar>
            <w:top w:w="0" w:type="dxa"/>
            <w:bottom w:w="0" w:type="dxa"/>
          </w:tblCellMar>
        </w:tblPrEx>
        <w:tc>
          <w:tcPr>
            <w:tcW w:w="5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Régimen de tenencia: otros</w:t>
            </w:r>
          </w:p>
        </w:tc>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4,47 %</w:t>
            </w:r>
          </w:p>
        </w:tc>
      </w:tr>
    </w:tbl>
    <w:p w:rsidR="002915CB" w:rsidRDefault="005D11A6">
      <w:pPr>
        <w:spacing w:before="60" w:after="200" w:line="260" w:lineRule="auto"/>
      </w:pPr>
      <w:r>
        <w:rPr>
          <w:i/>
          <w:iCs/>
          <w:color w:val="595959"/>
          <w:sz w:val="18"/>
          <w:szCs w:val="18"/>
        </w:rPr>
        <w:t>Fuente: INE – Censo de Población y Viviendas 2021.</w:t>
      </w:r>
    </w:p>
    <w:p w:rsidR="002915CB" w:rsidRDefault="005D11A6">
      <w:pPr>
        <w:pStyle w:val="Ttulo2"/>
      </w:pPr>
      <w:r>
        <w:t>5.2. Suelo y catastro: distribución por usos</w:t>
      </w:r>
    </w:p>
    <w:p w:rsidR="002915CB" w:rsidRDefault="005D11A6">
      <w:pPr>
        <w:spacing w:after="120" w:line="300" w:lineRule="auto"/>
        <w:jc w:val="both"/>
      </w:pPr>
      <w:r>
        <w:rPr>
          <w:color w:val="000000"/>
        </w:rPr>
        <w:t>El padrón catastral municipal registra 13.326 unidades urbanas en 2025. La distribución por usos refleja el carácter mixto residencial-industrial del municipio,</w:t>
      </w:r>
      <w:r>
        <w:rPr>
          <w:color w:val="000000"/>
        </w:rPr>
        <w:t xml:space="preserve"> con un peso del uso industrial (16,75 %) muy superior al promedio de la Comunidad de Madrid (1,52 %):</w:t>
      </w:r>
    </w:p>
    <w:p w:rsidR="002915CB" w:rsidRDefault="005D11A6">
      <w:pPr>
        <w:spacing w:before="160" w:after="80"/>
      </w:pPr>
      <w:r>
        <w:rPr>
          <w:b/>
          <w:bCs/>
          <w:color w:val="1F3864"/>
        </w:rPr>
        <w:t>Tabla 14. Distribución de unidades urbanas por uso (% sobre el total,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920"/>
        <w:gridCol w:w="1920"/>
        <w:gridCol w:w="1920"/>
      </w:tblGrid>
      <w:tr w:rsidR="002915CB">
        <w:tblPrEx>
          <w:tblCellMar>
            <w:top w:w="0" w:type="dxa"/>
            <w:bottom w:w="0" w:type="dxa"/>
          </w:tblCellMar>
        </w:tblPrEx>
        <w:trPr>
          <w:tblHeader/>
        </w:trPr>
        <w:tc>
          <w:tcPr>
            <w:tcW w:w="3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Uso</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 xml:space="preserve">Zona Sur </w:t>
            </w:r>
            <w:proofErr w:type="spellStart"/>
            <w:r>
              <w:rPr>
                <w:b/>
                <w:bCs/>
                <w:color w:val="FFFFFF"/>
                <w:sz w:val="20"/>
                <w:szCs w:val="20"/>
              </w:rPr>
              <w:t>Metrop</w:t>
            </w:r>
            <w:proofErr w:type="spellEnd"/>
            <w:r>
              <w:rPr>
                <w:b/>
                <w:bCs/>
                <w:color w:val="FFFFFF"/>
                <w:sz w:val="20"/>
                <w:szCs w:val="20"/>
              </w:rPr>
              <w:t>.</w:t>
            </w:r>
          </w:p>
        </w:tc>
        <w:tc>
          <w:tcPr>
            <w:tcW w:w="1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Residencial</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54,84 %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63,67 %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65,04 %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Industrial</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16,75 %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2,13 %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1,52 %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Comercial</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4,41 %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3,97 %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3,80 %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Oficinas</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0,78 %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0,90 %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1,35 %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Ocio y hostelería</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0,41 %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0,08 %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0,27 %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Cultural</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0,11 %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0,13 %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0,12 %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Deportivo</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0,09 %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0,09 %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0,16 %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Sanidad y beneficencia</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0,06 %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0,10 %</w:t>
            </w:r>
          </w:p>
        </w:tc>
        <w:tc>
          <w:tcPr>
            <w:tcW w:w="19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0,08 %</w:t>
            </w:r>
          </w:p>
        </w:tc>
      </w:tr>
      <w:tr w:rsidR="002915CB">
        <w:tblPrEx>
          <w:tblCellMar>
            <w:top w:w="0" w:type="dxa"/>
            <w:bottom w:w="0" w:type="dxa"/>
          </w:tblCellMar>
        </w:tblPrEx>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Religioso</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0,04 %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0,02 %</w:t>
            </w:r>
          </w:p>
        </w:tc>
        <w:tc>
          <w:tcPr>
            <w:tcW w:w="192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0,03 %</w:t>
            </w:r>
          </w:p>
        </w:tc>
      </w:tr>
    </w:tbl>
    <w:p w:rsidR="002915CB" w:rsidRDefault="005D11A6">
      <w:pPr>
        <w:spacing w:before="60" w:after="200" w:line="260" w:lineRule="auto"/>
      </w:pPr>
      <w:r>
        <w:rPr>
          <w:i/>
          <w:iCs/>
          <w:color w:val="595959"/>
          <w:sz w:val="18"/>
          <w:szCs w:val="18"/>
        </w:rPr>
        <w:t>Fuente: Dirección General del Catastro – Ministerio de Hacienda; explotación Almudena.</w:t>
      </w:r>
    </w:p>
    <w:p w:rsidR="002915CB" w:rsidRDefault="005D11A6">
      <w:pPr>
        <w:pStyle w:val="Ttulo2"/>
      </w:pPr>
      <w:r>
        <w:t>5.3. Educación</w:t>
      </w:r>
    </w:p>
    <w:p w:rsidR="002915CB" w:rsidRDefault="005D11A6">
      <w:pPr>
        <w:spacing w:before="160" w:after="80"/>
      </w:pPr>
      <w:r>
        <w:rPr>
          <w:b/>
          <w:bCs/>
          <w:color w:val="1F3864"/>
        </w:rPr>
        <w:t>Tabla 15. Indicadores del sistema educativo (curso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2915CB">
        <w:tblPrEx>
          <w:tblCellMar>
            <w:top w:w="0" w:type="dxa"/>
            <w:bottom w:w="0" w:type="dxa"/>
          </w:tblCellMar>
        </w:tblPrEx>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lastRenderedPageBreak/>
              <w:t>Indicador</w:t>
            </w:r>
          </w:p>
        </w:tc>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Centros no universitarios por 10.000 hab.</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7,97</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5,03</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Alumnos por profesor</w:t>
            </w:r>
          </w:p>
        </w:tc>
        <w:tc>
          <w:tcPr>
            <w:tcW w:w="23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11,44</w:t>
            </w:r>
          </w:p>
        </w:tc>
        <w:tc>
          <w:tcPr>
            <w:tcW w:w="23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12,15</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Alumnos por unidad escolar</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20,72</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22,08</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Alumnos en centros públicos (%)</w:t>
            </w:r>
          </w:p>
        </w:tc>
        <w:tc>
          <w:tcPr>
            <w:tcW w:w="23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71,41 %</w:t>
            </w:r>
          </w:p>
        </w:tc>
        <w:tc>
          <w:tcPr>
            <w:tcW w:w="23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53,99 %</w:t>
            </w:r>
          </w:p>
        </w:tc>
      </w:tr>
      <w:tr w:rsidR="002915CB">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Alumnos en centros privados/concertados (%)</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28,59 %</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46,01 %</w:t>
            </w:r>
          </w:p>
        </w:tc>
      </w:tr>
    </w:tbl>
    <w:p w:rsidR="002915CB" w:rsidRDefault="005D11A6">
      <w:pPr>
        <w:spacing w:before="60" w:after="200" w:line="260" w:lineRule="auto"/>
      </w:pPr>
      <w:r>
        <w:rPr>
          <w:i/>
          <w:iCs/>
          <w:color w:val="595959"/>
          <w:sz w:val="18"/>
          <w:szCs w:val="18"/>
        </w:rPr>
        <w:t>Fuente: Consejería de Educación, Ciencia y Universidades de la Comunidad de Madrid – Estadística de la Enseñanza.</w:t>
      </w:r>
    </w:p>
    <w:p w:rsidR="002915CB" w:rsidRDefault="005D11A6">
      <w:pPr>
        <w:spacing w:after="120" w:line="300" w:lineRule="auto"/>
        <w:jc w:val="both"/>
      </w:pPr>
      <w:r>
        <w:rPr>
          <w:color w:val="000000"/>
        </w:rPr>
        <w:t>La red educativa municipal comprende 16 centros no universitarios, entre los que se encuentran 7 escuelas infantiles (3 públicas y 4 privadas)</w:t>
      </w:r>
      <w:r>
        <w:rPr>
          <w:color w:val="000000"/>
        </w:rPr>
        <w:t xml:space="preserve">, 4 colegios públicos de educación infantil y primaria (CEIP Santo Domingo de Guzmán, CEIP Campo Hermoso, CEIP Hermanos Torá y CEIP Pedro de </w:t>
      </w:r>
      <w:proofErr w:type="spellStart"/>
      <w:r>
        <w:rPr>
          <w:color w:val="000000"/>
        </w:rPr>
        <w:t>Brimonis</w:t>
      </w:r>
      <w:proofErr w:type="spellEnd"/>
      <w:r>
        <w:rPr>
          <w:color w:val="000000"/>
        </w:rPr>
        <w:t>), 1 centro concertado (Colegio La Dehesa de Humanes) y 2 institutos de educación secundaria y bachillerato</w:t>
      </w:r>
      <w:r>
        <w:rPr>
          <w:color w:val="000000"/>
        </w:rPr>
        <w:t xml:space="preserve"> (IES Humanes e IES Fernando Fernán Gómez).</w:t>
      </w:r>
    </w:p>
    <w:p w:rsidR="002915CB" w:rsidRDefault="005D11A6">
      <w:pPr>
        <w:pStyle w:val="Ttulo2"/>
      </w:pPr>
      <w:r>
        <w:t>5.4. Sanidad</w:t>
      </w:r>
    </w:p>
    <w:p w:rsidR="002915CB" w:rsidRDefault="005D11A6">
      <w:pPr>
        <w:spacing w:after="120" w:line="300" w:lineRule="auto"/>
        <w:jc w:val="both"/>
      </w:pPr>
      <w:r>
        <w:rPr>
          <w:color w:val="000000"/>
        </w:rPr>
        <w:t>El municipio cuenta con un centro de salud y un consultorio local, integrados en la red asistencial del Servicio Madrileño de Salud (SERMAS), con una ratio de 0,50 centros de salud por cada 10.000 ha</w:t>
      </w:r>
      <w:r>
        <w:rPr>
          <w:color w:val="000000"/>
        </w:rPr>
        <w:t>bitantes, superior a la media regional (0,38). La atención hospitalaria de referencia se presta en los centros de la Dirección Asistencial Sur del SERMAS.</w:t>
      </w:r>
    </w:p>
    <w:p w:rsidR="002915CB" w:rsidRDefault="005D11A6">
      <w:pPr>
        <w:pStyle w:val="Ttulo2"/>
      </w:pPr>
      <w:r>
        <w:t>5.5. Otros indicadores de servicios</w:t>
      </w:r>
    </w:p>
    <w:p w:rsidR="002915CB" w:rsidRDefault="005D11A6">
      <w:pPr>
        <w:spacing w:before="160" w:after="80"/>
      </w:pPr>
      <w:r>
        <w:rPr>
          <w:b/>
          <w:bCs/>
          <w:color w:val="1F3864"/>
        </w:rPr>
        <w:t>Tabla 16. Otros indicadores municipales (2024-2025)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2160"/>
        <w:gridCol w:w="2160"/>
      </w:tblGrid>
      <w:tr w:rsidR="002915CB">
        <w:tblPrEx>
          <w:tblCellMar>
            <w:top w:w="0" w:type="dxa"/>
            <w:bottom w:w="0" w:type="dxa"/>
          </w:tblCellMar>
        </w:tblPrEx>
        <w:trPr>
          <w:tblHeader/>
        </w:trPr>
        <w:tc>
          <w:tcPr>
            <w:tcW w:w="50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pPr>
            <w:r>
              <w:rPr>
                <w:b/>
                <w:bCs/>
                <w:color w:val="FFFFFF"/>
                <w:sz w:val="20"/>
                <w:szCs w:val="20"/>
              </w:rPr>
              <w:t>Indicador</w:t>
            </w:r>
          </w:p>
        </w:tc>
        <w:tc>
          <w:tcPr>
            <w:tcW w:w="21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Humanes</w:t>
            </w:r>
          </w:p>
        </w:tc>
        <w:tc>
          <w:tcPr>
            <w:tcW w:w="21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rsidR="002915CB" w:rsidRDefault="005D11A6">
            <w:pPr>
              <w:spacing w:line="260" w:lineRule="auto"/>
              <w:jc w:val="center"/>
            </w:pPr>
            <w:r>
              <w:rPr>
                <w:b/>
                <w:bCs/>
                <w:color w:val="FFFFFF"/>
                <w:sz w:val="20"/>
                <w:szCs w:val="20"/>
              </w:rPr>
              <w:t>C. de Madrid</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Densidad de población (</w:t>
            </w:r>
            <w:proofErr w:type="spellStart"/>
            <w:r>
              <w:rPr>
                <w:b/>
                <w:bCs/>
                <w:color w:val="000000"/>
                <w:sz w:val="20"/>
                <w:szCs w:val="20"/>
              </w:rPr>
              <w:t>hab</w:t>
            </w:r>
            <w:proofErr w:type="spellEnd"/>
            <w:r>
              <w:rPr>
                <w:b/>
                <w:bCs/>
                <w:color w:val="000000"/>
                <w:sz w:val="20"/>
                <w:szCs w:val="20"/>
              </w:rPr>
              <w:t>/km², 2025)</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1.043,63</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885,82</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Turismos por 1.000 habitantes (2025)</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590,05</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Volumen de agua facturado per cápita (m³, 2024)</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61,23</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59,75</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Energía eléctrica facturada per cápita (kWh, 2023)</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4.313,59</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3.280,41</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pPr>
            <w:r>
              <w:rPr>
                <w:b/>
                <w:bCs/>
                <w:color w:val="000000"/>
                <w:sz w:val="20"/>
                <w:szCs w:val="20"/>
              </w:rPr>
              <w:t>Estaciones de Cercanías</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1</w:t>
            </w:r>
          </w:p>
        </w:tc>
        <w:tc>
          <w:tcPr>
            <w:tcW w:w="2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rsidR="002915CB" w:rsidRDefault="005D11A6">
            <w:pPr>
              <w:spacing w:line="260" w:lineRule="auto"/>
              <w:jc w:val="center"/>
            </w:pPr>
            <w:r>
              <w:rPr>
                <w:color w:val="000000"/>
                <w:sz w:val="20"/>
                <w:szCs w:val="20"/>
              </w:rPr>
              <w:t>—</w:t>
            </w:r>
          </w:p>
        </w:tc>
      </w:tr>
      <w:tr w:rsidR="002915CB">
        <w:tblPrEx>
          <w:tblCellMar>
            <w:top w:w="0" w:type="dxa"/>
            <w:bottom w:w="0" w:type="dxa"/>
          </w:tblCellMar>
        </w:tblPrEx>
        <w:tc>
          <w:tcPr>
            <w:tcW w:w="50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pPr>
            <w:r>
              <w:rPr>
                <w:b/>
                <w:bCs/>
                <w:color w:val="000000"/>
                <w:sz w:val="20"/>
                <w:szCs w:val="20"/>
              </w:rPr>
              <w:t>Bibliotecas públicas (población atendida)</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20.074</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vAlign w:val="center"/>
          </w:tcPr>
          <w:p w:rsidR="002915CB" w:rsidRDefault="005D11A6">
            <w:pPr>
              <w:spacing w:line="260" w:lineRule="auto"/>
              <w:jc w:val="center"/>
            </w:pPr>
            <w:r>
              <w:rPr>
                <w:color w:val="000000"/>
                <w:sz w:val="20"/>
                <w:szCs w:val="20"/>
              </w:rPr>
              <w:t>—</w:t>
            </w:r>
          </w:p>
        </w:tc>
      </w:tr>
    </w:tbl>
    <w:p w:rsidR="002915CB" w:rsidRDefault="005D11A6">
      <w:pPr>
        <w:spacing w:before="60" w:after="200" w:line="260" w:lineRule="auto"/>
      </w:pPr>
      <w:r>
        <w:rPr>
          <w:i/>
          <w:iCs/>
          <w:color w:val="595959"/>
          <w:sz w:val="18"/>
          <w:szCs w:val="18"/>
        </w:rPr>
        <w:t>Fuentes: Dirección General de Tráfico; Canal de Isabel II; Comisión Nacional de los Mercados y la Competencia; Renfe Cercanías; Subdirección General de Coordinación Bibliotecaria.</w:t>
      </w:r>
    </w:p>
    <w:p w:rsidR="002915CB" w:rsidRDefault="005D11A6">
      <w:r>
        <w:br w:type="page"/>
      </w:r>
    </w:p>
    <w:p w:rsidR="002915CB" w:rsidRDefault="005D11A6">
      <w:pPr>
        <w:pStyle w:val="Ttulo1"/>
        <w:pBdr>
          <w:bottom w:val="single" w:sz="12" w:space="4" w:color="1F3864"/>
        </w:pBdr>
      </w:pPr>
      <w:r>
        <w:lastRenderedPageBreak/>
        <w:t>6. Fuentes y metodología</w:t>
      </w:r>
    </w:p>
    <w:p w:rsidR="002915CB" w:rsidRDefault="005D11A6">
      <w:pPr>
        <w:pStyle w:val="Ttulo2"/>
      </w:pPr>
      <w:r>
        <w:t>6.1. Fuentes utilizadas</w:t>
      </w:r>
    </w:p>
    <w:p w:rsidR="002915CB" w:rsidRDefault="005D11A6">
      <w:pPr>
        <w:spacing w:after="120" w:line="300" w:lineRule="auto"/>
        <w:jc w:val="both"/>
      </w:pPr>
      <w:r>
        <w:rPr>
          <w:color w:val="000000"/>
        </w:rPr>
        <w:t>La información contenida en el presente documento ha sido elaborada a partir de fuentes oficiales públicas, conforme al principio de veracidad recogido en el artículo 6.c) de la Ley 10/2019, de 10 de abril, de Transparencia y de Participación de la Comunid</w:t>
      </w:r>
      <w:r>
        <w:rPr>
          <w:color w:val="000000"/>
        </w:rPr>
        <w:t>ad de Madrid. Las fuentes utilizadas, organizadas por bloques temáticos, son las siguientes:</w:t>
      </w:r>
    </w:p>
    <w:p w:rsidR="002915CB" w:rsidRDefault="005D11A6">
      <w:pPr>
        <w:pStyle w:val="Ttulo3"/>
      </w:pPr>
      <w:r>
        <w:t>6.1.1. Información geográfica y climática</w:t>
      </w:r>
    </w:p>
    <w:p w:rsidR="002915CB" w:rsidRDefault="005D11A6">
      <w:pPr>
        <w:pStyle w:val="Prrafodelista"/>
        <w:numPr>
          <w:ilvl w:val="0"/>
          <w:numId w:val="2"/>
        </w:numPr>
        <w:spacing w:after="80" w:line="280" w:lineRule="auto"/>
        <w:jc w:val="both"/>
      </w:pPr>
      <w:r>
        <w:rPr>
          <w:b/>
          <w:bCs/>
        </w:rPr>
        <w:t xml:space="preserve">Instituto Nacional de Estadística (INE): </w:t>
      </w:r>
      <w:r>
        <w:t>Nomenclátor de unidades poblacionales y códigos geográficos. www.ine.es</w:t>
      </w:r>
    </w:p>
    <w:p w:rsidR="002915CB" w:rsidRDefault="005D11A6">
      <w:pPr>
        <w:pStyle w:val="Prrafodelista"/>
        <w:numPr>
          <w:ilvl w:val="0"/>
          <w:numId w:val="2"/>
        </w:numPr>
        <w:spacing w:after="80" w:line="280" w:lineRule="auto"/>
        <w:jc w:val="both"/>
      </w:pPr>
      <w:r>
        <w:rPr>
          <w:b/>
          <w:bCs/>
        </w:rPr>
        <w:t xml:space="preserve">Agencia </w:t>
      </w:r>
      <w:r>
        <w:rPr>
          <w:b/>
          <w:bCs/>
        </w:rPr>
        <w:t xml:space="preserve">Estatal de Meteorología (AEMET): </w:t>
      </w:r>
      <w:r>
        <w:t>predicciones y caracterización climática del municipio (código 28073). www.aemet.es</w:t>
      </w:r>
    </w:p>
    <w:p w:rsidR="002915CB" w:rsidRDefault="005D11A6">
      <w:pPr>
        <w:pStyle w:val="Prrafodelista"/>
        <w:numPr>
          <w:ilvl w:val="0"/>
          <w:numId w:val="2"/>
        </w:numPr>
        <w:spacing w:after="80" w:line="280" w:lineRule="auto"/>
        <w:jc w:val="both"/>
      </w:pPr>
      <w:r>
        <w:rPr>
          <w:b/>
          <w:bCs/>
        </w:rPr>
        <w:t xml:space="preserve">Instituto Geográfico Nacional (IGN): </w:t>
      </w:r>
      <w:r>
        <w:t>cartografía oficial, coordenadas y altimetría. www.ign.es</w:t>
      </w:r>
    </w:p>
    <w:p w:rsidR="002915CB" w:rsidRDefault="005D11A6">
      <w:pPr>
        <w:pStyle w:val="Prrafodelista"/>
        <w:numPr>
          <w:ilvl w:val="0"/>
          <w:numId w:val="2"/>
        </w:numPr>
        <w:spacing w:after="80" w:line="280" w:lineRule="auto"/>
        <w:jc w:val="both"/>
      </w:pPr>
      <w:r>
        <w:rPr>
          <w:b/>
          <w:bCs/>
        </w:rPr>
        <w:t xml:space="preserve">Climate-Data.org: </w:t>
      </w:r>
      <w:r>
        <w:t>serie climatológica histórica 1991-2021 (clasificación Köppen-Geiger), de carácter complementario.</w:t>
      </w:r>
    </w:p>
    <w:p w:rsidR="002915CB" w:rsidRDefault="005D11A6">
      <w:pPr>
        <w:pStyle w:val="Ttulo3"/>
      </w:pPr>
      <w:r>
        <w:t>6.1.2. Información demográfica</w:t>
      </w:r>
    </w:p>
    <w:p w:rsidR="002915CB" w:rsidRDefault="005D11A6">
      <w:pPr>
        <w:pStyle w:val="Prrafodelista"/>
        <w:numPr>
          <w:ilvl w:val="0"/>
          <w:numId w:val="2"/>
        </w:numPr>
        <w:spacing w:after="80" w:line="280" w:lineRule="auto"/>
        <w:jc w:val="both"/>
      </w:pPr>
      <w:r>
        <w:rPr>
          <w:b/>
          <w:bCs/>
        </w:rPr>
        <w:t xml:space="preserve">Instituto Nacional de Estadística (INE): </w:t>
      </w:r>
      <w:r>
        <w:t>Estadística Continua de Población; Censo Anual de Población a 1 de enero de 2025; Est</w:t>
      </w:r>
      <w:r>
        <w:t>adística del Movimiento Natural de la Población.</w:t>
      </w:r>
    </w:p>
    <w:p w:rsidR="002915CB" w:rsidRDefault="005D11A6">
      <w:pPr>
        <w:pStyle w:val="Prrafodelista"/>
        <w:numPr>
          <w:ilvl w:val="0"/>
          <w:numId w:val="2"/>
        </w:numPr>
        <w:spacing w:after="80" w:line="280" w:lineRule="auto"/>
        <w:jc w:val="both"/>
      </w:pPr>
      <w:r>
        <w:rPr>
          <w:b/>
          <w:bCs/>
        </w:rPr>
        <w:t xml:space="preserve">Instituto de Estadística de la Comunidad de Madrid: </w:t>
      </w:r>
      <w:r>
        <w:t>Banco de Datos Almudena, ficha e índice municipal de Humanes de Madrid (código 0730). www.madrid.org/iestadis</w:t>
      </w:r>
    </w:p>
    <w:p w:rsidR="002915CB" w:rsidRDefault="005D11A6">
      <w:pPr>
        <w:pStyle w:val="Ttulo3"/>
      </w:pPr>
      <w:r>
        <w:t>6.1.3. Información económica y mercado de tra</w:t>
      </w:r>
      <w:r>
        <w:t>bajo</w:t>
      </w:r>
    </w:p>
    <w:p w:rsidR="002915CB" w:rsidRDefault="005D11A6">
      <w:pPr>
        <w:pStyle w:val="Prrafodelista"/>
        <w:numPr>
          <w:ilvl w:val="0"/>
          <w:numId w:val="2"/>
        </w:numPr>
        <w:spacing w:after="80" w:line="280" w:lineRule="auto"/>
        <w:jc w:val="both"/>
      </w:pPr>
      <w:r>
        <w:rPr>
          <w:b/>
          <w:bCs/>
        </w:rPr>
        <w:t xml:space="preserve">Instituto de Estadística de la Comunidad de Madrid: </w:t>
      </w:r>
      <w:r>
        <w:t>Macromagnitudes municipales (Producto Interior Bruto Municipal e Indicador de Renta Disponible Bruta Municipal).</w:t>
      </w:r>
    </w:p>
    <w:p w:rsidR="002915CB" w:rsidRDefault="005D11A6">
      <w:pPr>
        <w:pStyle w:val="Prrafodelista"/>
        <w:numPr>
          <w:ilvl w:val="0"/>
          <w:numId w:val="2"/>
        </w:numPr>
        <w:spacing w:after="80" w:line="280" w:lineRule="auto"/>
        <w:jc w:val="both"/>
      </w:pPr>
      <w:r>
        <w:rPr>
          <w:b/>
          <w:bCs/>
        </w:rPr>
        <w:t xml:space="preserve">Agencia Estatal de Administración Tributaria (AEAT): </w:t>
      </w:r>
      <w:r>
        <w:t>estadística del Impuesto sobre la</w:t>
      </w:r>
      <w:r>
        <w:t xml:space="preserve"> Renta de las Personas Físicas por municipio.</w:t>
      </w:r>
    </w:p>
    <w:p w:rsidR="002915CB" w:rsidRDefault="005D11A6">
      <w:pPr>
        <w:pStyle w:val="Prrafodelista"/>
        <w:numPr>
          <w:ilvl w:val="0"/>
          <w:numId w:val="2"/>
        </w:numPr>
        <w:spacing w:after="80" w:line="280" w:lineRule="auto"/>
        <w:jc w:val="both"/>
      </w:pPr>
      <w:r>
        <w:rPr>
          <w:b/>
          <w:bCs/>
        </w:rPr>
        <w:t xml:space="preserve">Tesorería General de la Seguridad Social: </w:t>
      </w:r>
      <w:r>
        <w:t>afiliados a la Seguridad Social por municipio, rama de actividad, sexo, edad y nacionalidad.</w:t>
      </w:r>
    </w:p>
    <w:p w:rsidR="002915CB" w:rsidRDefault="005D11A6">
      <w:pPr>
        <w:pStyle w:val="Prrafodelista"/>
        <w:numPr>
          <w:ilvl w:val="0"/>
          <w:numId w:val="2"/>
        </w:numPr>
        <w:spacing w:after="80" w:line="280" w:lineRule="auto"/>
        <w:jc w:val="both"/>
      </w:pPr>
      <w:r>
        <w:rPr>
          <w:b/>
          <w:bCs/>
        </w:rPr>
        <w:t xml:space="preserve">Servicio Público de Empleo Estatal (SEPE): </w:t>
      </w:r>
      <w:r>
        <w:t>paro registrado y contratos.</w:t>
      </w:r>
    </w:p>
    <w:p w:rsidR="002915CB" w:rsidRDefault="005D11A6">
      <w:pPr>
        <w:pStyle w:val="Prrafodelista"/>
        <w:numPr>
          <w:ilvl w:val="0"/>
          <w:numId w:val="2"/>
        </w:numPr>
        <w:spacing w:after="80" w:line="280" w:lineRule="auto"/>
        <w:jc w:val="both"/>
      </w:pPr>
      <w:r>
        <w:rPr>
          <w:b/>
          <w:bCs/>
        </w:rPr>
        <w:t>Con</w:t>
      </w:r>
      <w:r>
        <w:rPr>
          <w:b/>
          <w:bCs/>
        </w:rPr>
        <w:t xml:space="preserve">sejería de Economía, Hacienda y Empleo de la Comunidad de Madrid: </w:t>
      </w:r>
      <w:r>
        <w:t>estadísticas laborales municipales.</w:t>
      </w:r>
    </w:p>
    <w:p w:rsidR="002915CB" w:rsidRDefault="005D11A6">
      <w:pPr>
        <w:pStyle w:val="Ttulo3"/>
      </w:pPr>
      <w:r>
        <w:t>6.1.4. Vivienda, catastro y urbanismo</w:t>
      </w:r>
    </w:p>
    <w:p w:rsidR="002915CB" w:rsidRDefault="005D11A6">
      <w:pPr>
        <w:pStyle w:val="Prrafodelista"/>
        <w:numPr>
          <w:ilvl w:val="0"/>
          <w:numId w:val="2"/>
        </w:numPr>
        <w:spacing w:after="80" w:line="280" w:lineRule="auto"/>
        <w:jc w:val="both"/>
      </w:pPr>
      <w:r>
        <w:rPr>
          <w:b/>
          <w:bCs/>
        </w:rPr>
        <w:t xml:space="preserve">INE: </w:t>
      </w:r>
      <w:r>
        <w:t>Censo de Población y Viviendas 2021.</w:t>
      </w:r>
    </w:p>
    <w:p w:rsidR="002915CB" w:rsidRDefault="005D11A6">
      <w:pPr>
        <w:pStyle w:val="Prrafodelista"/>
        <w:numPr>
          <w:ilvl w:val="0"/>
          <w:numId w:val="2"/>
        </w:numPr>
        <w:spacing w:after="80" w:line="280" w:lineRule="auto"/>
        <w:jc w:val="both"/>
      </w:pPr>
      <w:r>
        <w:rPr>
          <w:b/>
          <w:bCs/>
        </w:rPr>
        <w:t xml:space="preserve">Dirección General del Catastro (Ministerio de Hacienda): </w:t>
      </w:r>
      <w:r>
        <w:t>estadísticas cata</w:t>
      </w:r>
      <w:r>
        <w:t>strales de bienes inmuebles urbanos y rústicos. www.catastro.minhap.es</w:t>
      </w:r>
    </w:p>
    <w:p w:rsidR="002915CB" w:rsidRDefault="005D11A6">
      <w:pPr>
        <w:pStyle w:val="Ttulo3"/>
      </w:pPr>
      <w:r>
        <w:t>6.1.5. Servicios públicos y otros indicadores</w:t>
      </w:r>
    </w:p>
    <w:p w:rsidR="002915CB" w:rsidRDefault="005D11A6">
      <w:pPr>
        <w:pStyle w:val="Prrafodelista"/>
        <w:numPr>
          <w:ilvl w:val="0"/>
          <w:numId w:val="2"/>
        </w:numPr>
        <w:spacing w:after="80" w:line="280" w:lineRule="auto"/>
        <w:jc w:val="both"/>
      </w:pPr>
      <w:r>
        <w:rPr>
          <w:b/>
          <w:bCs/>
        </w:rPr>
        <w:lastRenderedPageBreak/>
        <w:t xml:space="preserve">Consejería de Educación, Ciencia y Universidades de la Comunidad de Madrid: </w:t>
      </w:r>
      <w:r>
        <w:t>estadísticas de la enseñanza no universitaria.</w:t>
      </w:r>
    </w:p>
    <w:p w:rsidR="002915CB" w:rsidRDefault="005D11A6">
      <w:pPr>
        <w:pStyle w:val="Prrafodelista"/>
        <w:numPr>
          <w:ilvl w:val="0"/>
          <w:numId w:val="2"/>
        </w:numPr>
        <w:spacing w:after="80" w:line="280" w:lineRule="auto"/>
        <w:jc w:val="both"/>
      </w:pPr>
      <w:r>
        <w:rPr>
          <w:b/>
          <w:bCs/>
        </w:rPr>
        <w:t>Consejería de Sa</w:t>
      </w:r>
      <w:r>
        <w:rPr>
          <w:b/>
          <w:bCs/>
        </w:rPr>
        <w:t xml:space="preserve">nidad de la Comunidad de Madrid – SERMAS: </w:t>
      </w:r>
      <w:r>
        <w:t>datos de la red asistencial.</w:t>
      </w:r>
    </w:p>
    <w:p w:rsidR="002915CB" w:rsidRDefault="005D11A6">
      <w:pPr>
        <w:pStyle w:val="Prrafodelista"/>
        <w:numPr>
          <w:ilvl w:val="0"/>
          <w:numId w:val="2"/>
        </w:numPr>
        <w:spacing w:after="80" w:line="280" w:lineRule="auto"/>
        <w:jc w:val="both"/>
      </w:pPr>
      <w:r>
        <w:rPr>
          <w:b/>
          <w:bCs/>
        </w:rPr>
        <w:t xml:space="preserve">Dirección General de Tráfico (DGT): </w:t>
      </w:r>
      <w:r>
        <w:t>parque de vehículos.</w:t>
      </w:r>
    </w:p>
    <w:p w:rsidR="002915CB" w:rsidRDefault="005D11A6">
      <w:pPr>
        <w:pStyle w:val="Prrafodelista"/>
        <w:numPr>
          <w:ilvl w:val="0"/>
          <w:numId w:val="2"/>
        </w:numPr>
        <w:spacing w:after="80" w:line="280" w:lineRule="auto"/>
        <w:jc w:val="both"/>
      </w:pPr>
      <w:r>
        <w:rPr>
          <w:b/>
          <w:bCs/>
        </w:rPr>
        <w:t xml:space="preserve">Canal de Isabel II: </w:t>
      </w:r>
      <w:r>
        <w:t>facturación de agua a los municipios.</w:t>
      </w:r>
    </w:p>
    <w:p w:rsidR="002915CB" w:rsidRDefault="005D11A6">
      <w:pPr>
        <w:pStyle w:val="Prrafodelista"/>
        <w:numPr>
          <w:ilvl w:val="0"/>
          <w:numId w:val="2"/>
        </w:numPr>
        <w:spacing w:after="80" w:line="280" w:lineRule="auto"/>
        <w:jc w:val="both"/>
      </w:pPr>
      <w:r>
        <w:rPr>
          <w:b/>
          <w:bCs/>
        </w:rPr>
        <w:t xml:space="preserve">Comisión Nacional de los Mercados y la Competencia (CNMC): </w:t>
      </w:r>
      <w:r>
        <w:t>facturación eléctrica y líneas de telefonía.</w:t>
      </w:r>
    </w:p>
    <w:p w:rsidR="002915CB" w:rsidRDefault="005D11A6">
      <w:pPr>
        <w:pStyle w:val="Ttulo3"/>
      </w:pPr>
      <w:r>
        <w:t>6.1.6. Información histórica y contextual</w:t>
      </w:r>
    </w:p>
    <w:p w:rsidR="002915CB" w:rsidRDefault="005D11A6">
      <w:pPr>
        <w:pStyle w:val="Prrafodelista"/>
        <w:numPr>
          <w:ilvl w:val="0"/>
          <w:numId w:val="2"/>
        </w:numPr>
        <w:spacing w:after="80" w:line="280" w:lineRule="auto"/>
        <w:jc w:val="both"/>
      </w:pPr>
      <w:r>
        <w:rPr>
          <w:b/>
          <w:bCs/>
        </w:rPr>
        <w:t xml:space="preserve">Pascual Madoz: </w:t>
      </w:r>
      <w:r>
        <w:t>Diccionario geográfico-estadístico-histórico de España y sus posesiones de Ultramar (1847), volumen IX.</w:t>
      </w:r>
    </w:p>
    <w:p w:rsidR="002915CB" w:rsidRDefault="005D11A6">
      <w:pPr>
        <w:pStyle w:val="Prrafodelista"/>
        <w:numPr>
          <w:ilvl w:val="0"/>
          <w:numId w:val="2"/>
        </w:numPr>
        <w:spacing w:after="80" w:line="280" w:lineRule="auto"/>
        <w:jc w:val="both"/>
      </w:pPr>
      <w:r>
        <w:rPr>
          <w:b/>
          <w:bCs/>
        </w:rPr>
        <w:t xml:space="preserve">Lorenzo Nieto, S. (2004): </w:t>
      </w:r>
      <w:r>
        <w:t xml:space="preserve">Historia y geografía de </w:t>
      </w:r>
      <w:r>
        <w:t>Humanes de Madrid.</w:t>
      </w:r>
    </w:p>
    <w:p w:rsidR="002915CB" w:rsidRDefault="005D11A6">
      <w:pPr>
        <w:pStyle w:val="Prrafodelista"/>
        <w:numPr>
          <w:ilvl w:val="0"/>
          <w:numId w:val="2"/>
        </w:numPr>
        <w:spacing w:after="80" w:line="280" w:lineRule="auto"/>
        <w:jc w:val="both"/>
      </w:pPr>
      <w:r>
        <w:rPr>
          <w:b/>
          <w:bCs/>
        </w:rPr>
        <w:t xml:space="preserve">Ayuntamiento de Humanes de Madrid: </w:t>
      </w:r>
      <w:r>
        <w:t>información institucional disponible en www.ayto-humanesdemadrid.es</w:t>
      </w:r>
    </w:p>
    <w:p w:rsidR="002915CB" w:rsidRDefault="005D11A6">
      <w:pPr>
        <w:pStyle w:val="Ttulo2"/>
      </w:pPr>
      <w:r>
        <w:t>6.2. Metodología</w:t>
      </w:r>
    </w:p>
    <w:p w:rsidR="002915CB" w:rsidRDefault="005D11A6">
      <w:pPr>
        <w:spacing w:after="120" w:line="300" w:lineRule="auto"/>
        <w:jc w:val="both"/>
      </w:pPr>
      <w:r>
        <w:rPr>
          <w:color w:val="000000"/>
        </w:rPr>
        <w:t>El presente documento se ha elaborado siguiendo los criterios técnicos descritos a continuación, con el fin de garant</w:t>
      </w:r>
      <w:r>
        <w:rPr>
          <w:color w:val="000000"/>
        </w:rPr>
        <w:t>izar la trazabilidad, la veracidad y la reproducibilidad de la información presentada:</w:t>
      </w:r>
    </w:p>
    <w:p w:rsidR="002915CB" w:rsidRDefault="005D11A6">
      <w:pPr>
        <w:pStyle w:val="Ttulo3"/>
      </w:pPr>
      <w:r>
        <w:t>6.2.1. Selección de variables</w:t>
      </w:r>
    </w:p>
    <w:p w:rsidR="002915CB" w:rsidRDefault="005D11A6">
      <w:pPr>
        <w:spacing w:after="120" w:line="300" w:lineRule="auto"/>
        <w:jc w:val="both"/>
      </w:pPr>
      <w:r>
        <w:rPr>
          <w:color w:val="000000"/>
        </w:rPr>
        <w:t>La selección de variables se ha realizado atendiendo a las categorías de información de elaboración propia previstas en la legislación de transparencia, agrupadas en tres bloques homogéneos (geográfico, económico y estadístico) que reproducen la estructura</w:t>
      </w:r>
      <w:r>
        <w:rPr>
          <w:color w:val="000000"/>
        </w:rPr>
        <w:t xml:space="preserve"> de información general utilizada por otros portales municipales de transparencia de referencia. Para cada variable se ha priorizado la disponibilidad de series temporales recientes (último quinquenio cuando es posible) y la comparabilidad con la zona esta</w:t>
      </w:r>
      <w:r>
        <w:rPr>
          <w:color w:val="000000"/>
        </w:rPr>
        <w:t>dística de adscripción (Sur Metropolitano) y con el conjunto de la Comunidad de Madrid.</w:t>
      </w:r>
    </w:p>
    <w:p w:rsidR="002915CB" w:rsidRDefault="005D11A6">
      <w:pPr>
        <w:pStyle w:val="Ttulo3"/>
      </w:pPr>
      <w:r>
        <w:t>6.2.2. Período de referencia</w:t>
      </w:r>
    </w:p>
    <w:p w:rsidR="002915CB" w:rsidRDefault="005D11A6">
      <w:pPr>
        <w:spacing w:after="120" w:line="300" w:lineRule="auto"/>
        <w:jc w:val="both"/>
      </w:pPr>
      <w:r>
        <w:rPr>
          <w:color w:val="000000"/>
        </w:rPr>
        <w:t>Los datos se presentan con la fecha de referencia más reciente disponible en cada fuente oficial en el momento de elaboración del documento</w:t>
      </w:r>
      <w:r>
        <w:rPr>
          <w:color w:val="000000"/>
        </w:rPr>
        <w:t>. Como criterio general, las cifras de población corresponden a 1 de enero de 2025 (Censo Anual de Población del INE), las cifras económicas y de empleo a 2025 cuando están disponibles —y al ejercicio cerrado más reciente en los casos de magnitudes con pub</w:t>
      </w:r>
      <w:r>
        <w:rPr>
          <w:color w:val="000000"/>
        </w:rPr>
        <w:t>licación diferida (PIB municipal: 2023; IRPF: 2023; censo de viviendas: 2021)— y los datos catastrales a 1 de enero de 2025.</w:t>
      </w:r>
    </w:p>
    <w:p w:rsidR="002915CB" w:rsidRDefault="005D11A6">
      <w:pPr>
        <w:pStyle w:val="Ttulo3"/>
      </w:pPr>
      <w:r>
        <w:t>6.2.3. Tratamiento de los datos</w:t>
      </w:r>
    </w:p>
    <w:p w:rsidR="002915CB" w:rsidRDefault="005D11A6">
      <w:pPr>
        <w:spacing w:after="120" w:line="300" w:lineRule="auto"/>
        <w:jc w:val="both"/>
      </w:pPr>
      <w:r>
        <w:rPr>
          <w:color w:val="000000"/>
        </w:rPr>
        <w:t xml:space="preserve">La información se ha extraído directamente de las fuentes oficiales sin transformaciones distintas </w:t>
      </w:r>
      <w:r>
        <w:rPr>
          <w:color w:val="000000"/>
        </w:rPr>
        <w:t xml:space="preserve">de las necesarias para su presentación (conversión a porcentajes, redondeos a dos decimales y reagrupación en tablas comparativas). No se han realizado estimaciones, proyecciones ni </w:t>
      </w:r>
      <w:r>
        <w:rPr>
          <w:color w:val="000000"/>
        </w:rPr>
        <w:lastRenderedPageBreak/>
        <w:t>imputaciones de valores faltantes. Cuando un dato no se encuentra disponib</w:t>
      </w:r>
      <w:r>
        <w:rPr>
          <w:color w:val="000000"/>
        </w:rPr>
        <w:t>le para un período concreto, se indica expresamente con un guion («—»).</w:t>
      </w:r>
    </w:p>
    <w:p w:rsidR="002915CB" w:rsidRDefault="005D11A6">
      <w:pPr>
        <w:pStyle w:val="Ttulo3"/>
      </w:pPr>
      <w:r>
        <w:t>6.2.4. Indicadores comparativos</w:t>
      </w:r>
    </w:p>
    <w:p w:rsidR="002915CB" w:rsidRDefault="005D11A6">
      <w:pPr>
        <w:spacing w:after="120" w:line="300" w:lineRule="auto"/>
        <w:jc w:val="both"/>
      </w:pPr>
      <w:r>
        <w:rPr>
          <w:color w:val="000000"/>
        </w:rPr>
        <w:t>Para facilitar la interpretación de los datos municipales, los indicadores se presentan acompañados, cuando ha sido posible, de los correspondientes val</w:t>
      </w:r>
      <w:r>
        <w:rPr>
          <w:color w:val="000000"/>
        </w:rPr>
        <w:t>ores agregados de la zona estadística Sur Metropolitano y del conjunto de la Comunidad de Madrid, conforme a la estructura ofrecida por el Banco de Datos Almudena del Instituto de Estadística de la Comunidad de Madrid. La referencia temporal de la informac</w:t>
      </w:r>
      <w:r>
        <w:rPr>
          <w:color w:val="000000"/>
        </w:rPr>
        <w:t>ión zonal y autonómica coincide con la última disponible para el municipio.</w:t>
      </w:r>
    </w:p>
    <w:p w:rsidR="002915CB" w:rsidRDefault="005D11A6">
      <w:pPr>
        <w:pStyle w:val="Ttulo3"/>
      </w:pPr>
      <w:r>
        <w:t>6.2.5. Vigencia y actualización</w:t>
      </w:r>
    </w:p>
    <w:p w:rsidR="002915CB" w:rsidRDefault="005D11A6">
      <w:pPr>
        <w:spacing w:after="120" w:line="300" w:lineRule="auto"/>
        <w:jc w:val="both"/>
      </w:pPr>
      <w:r>
        <w:rPr>
          <w:color w:val="000000"/>
        </w:rPr>
        <w:t>El presente documento tiene la fecha de elaboración indicada en la portada. De conformidad con el artículo 8.1.a) de la Ley 10/2019, se mantendrá ac</w:t>
      </w:r>
      <w:r>
        <w:rPr>
          <w:color w:val="000000"/>
        </w:rPr>
        <w:t>tualizado y se procederá a su revisión con periodicidad anual, sin perjuicio de actualizaciones parciales puntuales cuando la publicación de datos oficiales por parte de los organismos productores así lo aconseje.</w:t>
      </w:r>
    </w:p>
    <w:p w:rsidR="002915CB" w:rsidRDefault="005D11A6">
      <w:pPr>
        <w:pStyle w:val="Ttulo3"/>
      </w:pPr>
      <w:r>
        <w:t>6.2.6. Accesibilidad y reutilización</w:t>
      </w:r>
    </w:p>
    <w:p w:rsidR="002915CB" w:rsidRDefault="005D11A6">
      <w:pPr>
        <w:spacing w:after="120" w:line="300" w:lineRule="auto"/>
        <w:jc w:val="both"/>
      </w:pPr>
      <w:r>
        <w:rPr>
          <w:color w:val="000000"/>
        </w:rPr>
        <w:t>El do</w:t>
      </w:r>
      <w:r>
        <w:rPr>
          <w:color w:val="000000"/>
        </w:rPr>
        <w:t>cumento se publicará en formato accesible en el Portal de Transparencia del Ayuntamiento de Humanes de Madrid, conforme a los principios de accesibilidad, reutilización e interoperabilidad recogidos en el artículo 6 de la Ley 10/2019. La información estadí</w:t>
      </w:r>
      <w:r>
        <w:rPr>
          <w:color w:val="000000"/>
        </w:rPr>
        <w:t>stica contenida es de carácter público y puede ser reutilizada por cualquier persona física o jurídica con la única obligación de citar la fuente original.</w:t>
      </w:r>
    </w:p>
    <w:p w:rsidR="002915CB" w:rsidRDefault="005D11A6">
      <w:pPr>
        <w:pStyle w:val="Ttulo2"/>
      </w:pPr>
      <w:r>
        <w:t>6.3. Notas finales</w:t>
      </w:r>
    </w:p>
    <w:p w:rsidR="002915CB" w:rsidRDefault="005D11A6">
      <w:pPr>
        <w:spacing w:after="120" w:line="300" w:lineRule="auto"/>
        <w:jc w:val="both"/>
      </w:pPr>
      <w:r>
        <w:rPr>
          <w:color w:val="000000"/>
        </w:rPr>
        <w:t>Cualquier persona interesada puede dirigir consultas, sugerencias o solicitudes d</w:t>
      </w:r>
      <w:r>
        <w:rPr>
          <w:color w:val="000000"/>
        </w:rPr>
        <w:t>e información complementaria al Ayuntamiento de Humanes de Madrid a través de los canales habilitados en su Portal de Transparencia o mediante el ejercicio del derecho de acceso a la información pública previsto en el Título III de la Ley 10/2019, de 10 de</w:t>
      </w:r>
      <w:r>
        <w:rPr>
          <w:color w:val="000000"/>
        </w:rPr>
        <w:t xml:space="preserve"> abril, y en la Ley 19/2013, de 9 de diciembre, de transparencia, acceso a la información pública y buen gobierno.</w:t>
      </w:r>
    </w:p>
    <w:p w:rsidR="002915CB" w:rsidRDefault="005D11A6">
      <w:pPr>
        <w:pBdr>
          <w:top w:val="single" w:sz="8" w:space="8" w:color="1F3864"/>
        </w:pBdr>
        <w:spacing w:before="600"/>
        <w:jc w:val="center"/>
      </w:pPr>
      <w:r>
        <w:rPr>
          <w:i/>
          <w:iCs/>
          <w:color w:val="595959"/>
        </w:rPr>
        <w:t>— Fin del documento —</w:t>
      </w:r>
    </w:p>
    <w:sectPr w:rsidR="002915C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D11A6">
      <w:r>
        <w:separator/>
      </w:r>
    </w:p>
  </w:endnote>
  <w:endnote w:type="continuationSeparator" w:id="0">
    <w:p w:rsidR="00000000" w:rsidRDefault="005D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5CB" w:rsidRDefault="005D11A6">
    <w:pPr>
      <w:pBdr>
        <w:top w:val="single" w:sz="4" w:space="4" w:color="BFBFBF"/>
      </w:pBdr>
      <w:jc w:val="center"/>
    </w:pPr>
    <w:r>
      <w:rPr>
        <w:color w:val="595959"/>
        <w:sz w:val="16"/>
        <w:szCs w:val="16"/>
      </w:rPr>
      <w:t xml:space="preserve">Portal de Transparencia – Ley 10/2019, de 10 de abril, de la Comunidad de Madrid   |   Página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r>
      <w:rPr>
        <w:color w:val="595959"/>
        <w:sz w:val="16"/>
        <w:szCs w:val="16"/>
      </w:rPr>
      <w:t xml:space="preserve"> de </w:t>
    </w:r>
    <w:r>
      <w:rPr>
        <w:color w:val="595959"/>
        <w:sz w:val="16"/>
        <w:szCs w:val="16"/>
      </w:rPr>
      <w:fldChar w:fldCharType="begin"/>
    </w:r>
    <w:r>
      <w:rPr>
        <w:color w:val="595959"/>
        <w:sz w:val="16"/>
        <w:szCs w:val="16"/>
      </w:rPr>
      <w:instrText>NUMPAGES</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D11A6">
      <w:r>
        <w:separator/>
      </w:r>
    </w:p>
  </w:footnote>
  <w:footnote w:type="continuationSeparator" w:id="0">
    <w:p w:rsidR="00000000" w:rsidRDefault="005D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5CB" w:rsidRDefault="005D11A6">
    <w:pPr>
      <w:pBdr>
        <w:bottom w:val="single" w:sz="6" w:space="4" w:color="1F3864"/>
      </w:pBdr>
      <w:tabs>
        <w:tab w:val="right" w:pos="9026"/>
      </w:tabs>
    </w:pPr>
    <w:r>
      <w:rPr>
        <w:b/>
        <w:bCs/>
        <w:color w:val="1F3864"/>
        <w:sz w:val="18"/>
        <w:szCs w:val="18"/>
      </w:rPr>
      <w:t>Ayuntamiento de Humanes de Madrid</w:t>
    </w:r>
    <w:r>
      <w:rPr>
        <w:i/>
        <w:iCs/>
        <w:color w:val="595959"/>
        <w:sz w:val="18"/>
        <w:szCs w:val="18"/>
      </w:rPr>
      <w:tab/>
      <w:t>Información General del Municipio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9DD"/>
    <w:multiLevelType w:val="hybridMultilevel"/>
    <w:tmpl w:val="B6B829BA"/>
    <w:lvl w:ilvl="0" w:tplc="48B481A6">
      <w:start w:val="1"/>
      <w:numFmt w:val="bullet"/>
      <w:lvlText w:val="●"/>
      <w:lvlJc w:val="left"/>
      <w:pPr>
        <w:ind w:left="720" w:hanging="360"/>
      </w:pPr>
    </w:lvl>
    <w:lvl w:ilvl="1" w:tplc="1D78DCE6">
      <w:start w:val="1"/>
      <w:numFmt w:val="bullet"/>
      <w:lvlText w:val="○"/>
      <w:lvlJc w:val="left"/>
      <w:pPr>
        <w:ind w:left="1440" w:hanging="360"/>
      </w:pPr>
    </w:lvl>
    <w:lvl w:ilvl="2" w:tplc="E34454AA">
      <w:start w:val="1"/>
      <w:numFmt w:val="bullet"/>
      <w:lvlText w:val="■"/>
      <w:lvlJc w:val="left"/>
      <w:pPr>
        <w:ind w:left="2160" w:hanging="360"/>
      </w:pPr>
    </w:lvl>
    <w:lvl w:ilvl="3" w:tplc="92BCA108">
      <w:start w:val="1"/>
      <w:numFmt w:val="bullet"/>
      <w:lvlText w:val="●"/>
      <w:lvlJc w:val="left"/>
      <w:pPr>
        <w:ind w:left="2880" w:hanging="360"/>
      </w:pPr>
    </w:lvl>
    <w:lvl w:ilvl="4" w:tplc="2E40B004">
      <w:start w:val="1"/>
      <w:numFmt w:val="bullet"/>
      <w:lvlText w:val="○"/>
      <w:lvlJc w:val="left"/>
      <w:pPr>
        <w:ind w:left="3600" w:hanging="360"/>
      </w:pPr>
    </w:lvl>
    <w:lvl w:ilvl="5" w:tplc="125CB84E">
      <w:start w:val="1"/>
      <w:numFmt w:val="bullet"/>
      <w:lvlText w:val="■"/>
      <w:lvlJc w:val="left"/>
      <w:pPr>
        <w:ind w:left="4320" w:hanging="360"/>
      </w:pPr>
    </w:lvl>
    <w:lvl w:ilvl="6" w:tplc="1D440A40">
      <w:start w:val="1"/>
      <w:numFmt w:val="bullet"/>
      <w:lvlText w:val="●"/>
      <w:lvlJc w:val="left"/>
      <w:pPr>
        <w:ind w:left="5040" w:hanging="360"/>
      </w:pPr>
    </w:lvl>
    <w:lvl w:ilvl="7" w:tplc="79D8C3B0">
      <w:start w:val="1"/>
      <w:numFmt w:val="bullet"/>
      <w:lvlText w:val="●"/>
      <w:lvlJc w:val="left"/>
      <w:pPr>
        <w:ind w:left="5760" w:hanging="360"/>
      </w:pPr>
    </w:lvl>
    <w:lvl w:ilvl="8" w:tplc="D048F5FC">
      <w:start w:val="1"/>
      <w:numFmt w:val="bullet"/>
      <w:lvlText w:val="●"/>
      <w:lvlJc w:val="left"/>
      <w:pPr>
        <w:ind w:left="6480" w:hanging="360"/>
      </w:pPr>
    </w:lvl>
  </w:abstractNum>
  <w:abstractNum w:abstractNumId="1" w15:restartNumberingAfterBreak="0">
    <w:nsid w:val="40AD6588"/>
    <w:multiLevelType w:val="hybridMultilevel"/>
    <w:tmpl w:val="B4908A22"/>
    <w:lvl w:ilvl="0" w:tplc="DA2ED6DA">
      <w:start w:val="1"/>
      <w:numFmt w:val="bullet"/>
      <w:lvlText w:val="•"/>
      <w:lvlJc w:val="left"/>
      <w:pPr>
        <w:ind w:left="720" w:hanging="360"/>
      </w:pPr>
    </w:lvl>
    <w:lvl w:ilvl="1" w:tplc="EB141E3C">
      <w:numFmt w:val="decimal"/>
      <w:lvlText w:val=""/>
      <w:lvlJc w:val="left"/>
    </w:lvl>
    <w:lvl w:ilvl="2" w:tplc="354C1C7C">
      <w:numFmt w:val="decimal"/>
      <w:lvlText w:val=""/>
      <w:lvlJc w:val="left"/>
    </w:lvl>
    <w:lvl w:ilvl="3" w:tplc="490CE6A6">
      <w:numFmt w:val="decimal"/>
      <w:lvlText w:val=""/>
      <w:lvlJc w:val="left"/>
    </w:lvl>
    <w:lvl w:ilvl="4" w:tplc="201E8902">
      <w:numFmt w:val="decimal"/>
      <w:lvlText w:val=""/>
      <w:lvlJc w:val="left"/>
    </w:lvl>
    <w:lvl w:ilvl="5" w:tplc="85C2FAEA">
      <w:numFmt w:val="decimal"/>
      <w:lvlText w:val=""/>
      <w:lvlJc w:val="left"/>
    </w:lvl>
    <w:lvl w:ilvl="6" w:tplc="6C36EECE">
      <w:numFmt w:val="decimal"/>
      <w:lvlText w:val=""/>
      <w:lvlJc w:val="left"/>
    </w:lvl>
    <w:lvl w:ilvl="7" w:tplc="EECA4E8E">
      <w:numFmt w:val="decimal"/>
      <w:lvlText w:val=""/>
      <w:lvlJc w:val="left"/>
    </w:lvl>
    <w:lvl w:ilvl="8" w:tplc="0948753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CB"/>
    <w:rsid w:val="002915CB"/>
    <w:rsid w:val="005D1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45C12-4F74-4EAD-BC11-37B3912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360" w:after="240"/>
      <w:outlineLvl w:val="0"/>
    </w:pPr>
    <w:rPr>
      <w:b/>
      <w:bCs/>
      <w:color w:val="1F3864"/>
      <w:sz w:val="32"/>
      <w:szCs w:val="32"/>
    </w:rPr>
  </w:style>
  <w:style w:type="paragraph" w:styleId="Ttulo2">
    <w:name w:val="heading 2"/>
    <w:uiPriority w:val="9"/>
    <w:unhideWhenUsed/>
    <w:qFormat/>
    <w:pPr>
      <w:spacing w:before="280" w:after="160"/>
      <w:outlineLvl w:val="1"/>
    </w:pPr>
    <w:rPr>
      <w:b/>
      <w:bCs/>
      <w:color w:val="2E75B6"/>
      <w:sz w:val="26"/>
      <w:szCs w:val="26"/>
    </w:rPr>
  </w:style>
  <w:style w:type="paragraph" w:styleId="Ttulo3">
    <w:name w:val="heading 3"/>
    <w:uiPriority w:val="9"/>
    <w:unhideWhenUsed/>
    <w:qFormat/>
    <w:pPr>
      <w:spacing w:before="200" w:after="120"/>
      <w:outlineLvl w:val="2"/>
    </w:pPr>
    <w:rPr>
      <w:b/>
      <w:bCs/>
      <w:color w:val="1F3864"/>
      <w:sz w:val="23"/>
      <w:szCs w:val="23"/>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4038</Words>
  <Characters>22213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Información General del Municipio de Humanes de Madrid</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General del Municipio de Humanes de Madrid</dc:title>
  <dc:creator>Ayuntamiento de Humanes de Madrid</dc:creator>
  <dc:description>Información geográfica, económica y estadística de elaboración propia conforme a la Ley 10/2019</dc:description>
  <cp:lastModifiedBy>MARTIN ALONSO</cp:lastModifiedBy>
  <cp:revision>2</cp:revision>
  <dcterms:created xsi:type="dcterms:W3CDTF">2026-05-25T16:17:00Z</dcterms:created>
  <dcterms:modified xsi:type="dcterms:W3CDTF">2026-05-25T16:17:00Z</dcterms:modified>
</cp:coreProperties>
</file>