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72" w:rsidRDefault="00140F60">
      <w:pPr>
        <w:pStyle w:val="Ttulo1"/>
      </w:pPr>
      <w:r>
        <w:t>Catálogo de Información Pública</w:t>
      </w:r>
    </w:p>
    <w:p w:rsidR="00EC0F72" w:rsidRDefault="00140F60">
      <w:pPr>
        <w:spacing w:after="50"/>
      </w:pPr>
      <w:r>
        <w:rPr>
          <w:color w:val="555555"/>
          <w:sz w:val="18"/>
          <w:szCs w:val="18"/>
        </w:rPr>
        <w:t>Ayuntamiento de Humanes de Madrid · Portal de Transparencia · Ley 19/2013 y Ley 10/2019 CAM</w:t>
      </w:r>
    </w:p>
    <w:p w:rsidR="00EC0F72" w:rsidRDefault="00140F60">
      <w:pPr>
        <w:spacing w:after="40"/>
      </w:pPr>
      <w:r>
        <w:rPr>
          <w:color w:val="888888"/>
          <w:sz w:val="18"/>
          <w:szCs w:val="18"/>
        </w:rPr>
        <w:t xml:space="preserve">Fecha de aprobación / última actualización: </w:t>
      </w:r>
      <w:r w:rsidR="000144DE">
        <w:rPr>
          <w:color w:val="888888"/>
          <w:sz w:val="18"/>
          <w:szCs w:val="18"/>
        </w:rPr>
        <w:t>12</w:t>
      </w:r>
      <w:r>
        <w:rPr>
          <w:color w:val="888888"/>
          <w:sz w:val="18"/>
          <w:szCs w:val="18"/>
        </w:rPr>
        <w:t xml:space="preserve"> de junio de 2026</w:t>
      </w:r>
    </w:p>
    <w:p w:rsidR="00EC0F72" w:rsidRDefault="00140F60">
      <w:pPr>
        <w:spacing w:after="200"/>
      </w:pPr>
      <w:r>
        <w:rPr>
          <w:color w:val="888888"/>
          <w:sz w:val="18"/>
          <w:szCs w:val="18"/>
        </w:rPr>
        <w:t>Responsable: Concejalía de Nuevas Tecnologías y Transparencia · 159 indicadores publicados · 25 pendientes · 184 total DAM (86,4%)</w:t>
      </w:r>
    </w:p>
    <w:p w:rsidR="00EC0F72" w:rsidRDefault="00140F60">
      <w:pPr>
        <w:pStyle w:val="Ttulo2"/>
      </w:pPr>
      <w:r>
        <w:t>1. Objeto y ámbito</w:t>
      </w:r>
    </w:p>
    <w:p w:rsidR="00EC0F72" w:rsidRDefault="00140F60" w:rsidP="000144DE">
      <w:pPr>
        <w:spacing w:after="12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El presente catálogo identifica y sistematiza </w:t>
      </w:r>
      <w:r w:rsidR="000144DE">
        <w:rPr>
          <w:color w:val="333333"/>
          <w:sz w:val="18"/>
          <w:szCs w:val="18"/>
        </w:rPr>
        <w:t>un</w:t>
      </w:r>
      <w:r>
        <w:rPr>
          <w:color w:val="333333"/>
          <w:sz w:val="18"/>
          <w:szCs w:val="18"/>
        </w:rPr>
        <w:t xml:space="preserve"> total de </w:t>
      </w:r>
      <w:r w:rsidR="000144DE">
        <w:rPr>
          <w:color w:val="333333"/>
          <w:sz w:val="18"/>
          <w:szCs w:val="18"/>
        </w:rPr>
        <w:t xml:space="preserve">184 </w:t>
      </w:r>
      <w:r>
        <w:rPr>
          <w:color w:val="333333"/>
          <w:sz w:val="18"/>
          <w:szCs w:val="18"/>
        </w:rPr>
        <w:t>indicadores que el Ayuntamiento de Humanes de Madrid publica o está obligado a publicar conforme a la Ley 19/2013, de 9 de diciembre, de transparencia, acceso a la información pública y buen gobierno, y la Ley 10/2019, de 10 de abril, de Transparencia y Participación de la Comunidad de Madrid. Para cada indicador se indica el órgano responsable, el plazo de actualización, el formato</w:t>
      </w:r>
      <w:r w:rsidR="000144DE">
        <w:rPr>
          <w:color w:val="333333"/>
          <w:sz w:val="18"/>
          <w:szCs w:val="18"/>
        </w:rPr>
        <w:t>, el estado</w:t>
      </w:r>
      <w:r>
        <w:rPr>
          <w:color w:val="333333"/>
          <w:sz w:val="18"/>
          <w:szCs w:val="18"/>
        </w:rPr>
        <w:t xml:space="preserve"> y la </w:t>
      </w:r>
      <w:r w:rsidR="000144DE">
        <w:rPr>
          <w:color w:val="333333"/>
          <w:sz w:val="18"/>
          <w:szCs w:val="18"/>
        </w:rPr>
        <w:t>última actualización</w:t>
      </w:r>
      <w:r>
        <w:rPr>
          <w:color w:val="333333"/>
          <w:sz w:val="18"/>
          <w:szCs w:val="18"/>
        </w:rPr>
        <w:t xml:space="preserve"> en el portal de transparencia (</w:t>
      </w:r>
      <w:hyperlink r:id="rId7" w:history="1">
        <w:r w:rsidR="000144DE" w:rsidRPr="00F04E5D">
          <w:rPr>
            <w:rStyle w:val="Hipervnculo"/>
            <w:sz w:val="18"/>
            <w:szCs w:val="18"/>
          </w:rPr>
          <w:t>https://transparencia.ayto-humanesdemadrid.es/t</w:t>
        </w:r>
      </w:hyperlink>
      <w:r>
        <w:rPr>
          <w:color w:val="333333"/>
          <w:sz w:val="18"/>
          <w:szCs w:val="18"/>
        </w:rPr>
        <w:t>).</w:t>
      </w:r>
    </w:p>
    <w:p w:rsidR="00EC0F72" w:rsidRDefault="000144DE" w:rsidP="000144DE">
      <w:pPr>
        <w:spacing w:after="200"/>
        <w:jc w:val="both"/>
      </w:pPr>
      <w:r>
        <w:rPr>
          <w:color w:val="333333"/>
          <w:sz w:val="18"/>
          <w:szCs w:val="18"/>
        </w:rPr>
        <w:t>E</w:t>
      </w:r>
      <w:r w:rsidR="00140F60">
        <w:rPr>
          <w:color w:val="333333"/>
          <w:sz w:val="18"/>
          <w:szCs w:val="18"/>
        </w:rPr>
        <w:t>n la fecha de aprobación de este catálogo el ayuntamiento tiene publicados 159 de los 184 indicadores (86,4%), con 25 indicadores pendientes de completar que constituyen el plan de mejora para el siguiente período.</w:t>
      </w:r>
    </w:p>
    <w:p w:rsidR="00EC0F72" w:rsidRDefault="00140F60">
      <w:pPr>
        <w:pStyle w:val="Ttulo2"/>
      </w:pPr>
      <w:r>
        <w:t>2. Leyenda</w:t>
      </w:r>
    </w:p>
    <w:p w:rsidR="00EC0F72" w:rsidRDefault="00EC0F72">
      <w:pPr>
        <w:spacing w:after="120"/>
      </w:pPr>
    </w:p>
    <w:tbl>
      <w:tblPr>
        <w:tblW w:w="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EC0F72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2EFDA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EC0F72" w:rsidRDefault="00140F60">
            <w:r>
              <w:rPr>
                <w:sz w:val="17"/>
                <w:szCs w:val="17"/>
              </w:rPr>
              <w:t>✔ Publicado – disponible en el portal</w:t>
            </w:r>
          </w:p>
        </w:tc>
        <w:tc>
          <w:tcPr>
            <w:tcW w:w="300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2CC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EC0F72" w:rsidRDefault="00140F60">
            <w:r>
              <w:rPr>
                <w:sz w:val="17"/>
                <w:szCs w:val="17"/>
              </w:rPr>
              <w:t>⏳ Pendiente – previsto, aún sin publicar</w:t>
            </w:r>
          </w:p>
        </w:tc>
      </w:tr>
    </w:tbl>
    <w:p w:rsidR="00EC0F72" w:rsidRDefault="00EC0F72">
      <w:pPr>
        <w:spacing w:before="240" w:after="160"/>
      </w:pPr>
    </w:p>
    <w:p w:rsidR="00EC0F72" w:rsidRDefault="00140F60">
      <w:pPr>
        <w:pStyle w:val="Ttulo2"/>
      </w:pPr>
      <w:r>
        <w:t>3. Catálogo completo de indicadores DAM</w:t>
      </w:r>
    </w:p>
    <w:tbl>
      <w:tblPr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8"/>
        <w:gridCol w:w="1715"/>
        <w:gridCol w:w="1417"/>
        <w:gridCol w:w="1296"/>
        <w:gridCol w:w="1274"/>
        <w:gridCol w:w="1701"/>
      </w:tblGrid>
      <w:tr w:rsidR="00D50A97" w:rsidRPr="00D50A97" w:rsidTr="00D50A97">
        <w:trPr>
          <w:trHeight w:val="315"/>
        </w:trPr>
        <w:tc>
          <w:tcPr>
            <w:tcW w:w="804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1F4E79"/>
            <w:vAlign w:val="center"/>
            <w:hideMark/>
          </w:tcPr>
          <w:p w:rsidR="00D50A97" w:rsidRPr="00D50A97" w:rsidRDefault="00D50A97" w:rsidP="00D50A97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del indicador</w:t>
            </w:r>
          </w:p>
        </w:tc>
        <w:tc>
          <w:tcPr>
            <w:tcW w:w="171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1F4E79"/>
            <w:vAlign w:val="center"/>
            <w:hideMark/>
          </w:tcPr>
          <w:p w:rsidR="00D50A97" w:rsidRPr="00D50A97" w:rsidRDefault="00D50A97" w:rsidP="00D50A97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Órgano responsable</w:t>
            </w:r>
          </w:p>
        </w:tc>
        <w:tc>
          <w:tcPr>
            <w:tcW w:w="14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1F4E79"/>
            <w:vAlign w:val="center"/>
            <w:hideMark/>
          </w:tcPr>
          <w:p w:rsidR="00D50A97" w:rsidRPr="00D50A97" w:rsidRDefault="00D50A97" w:rsidP="00D50A97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Plazo</w:t>
            </w:r>
          </w:p>
        </w:tc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1F4E79"/>
            <w:vAlign w:val="center"/>
            <w:hideMark/>
          </w:tcPr>
          <w:p w:rsidR="00D50A97" w:rsidRPr="00D50A97" w:rsidRDefault="00D50A97" w:rsidP="00D50A97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Formato</w:t>
            </w:r>
          </w:p>
        </w:tc>
        <w:tc>
          <w:tcPr>
            <w:tcW w:w="127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1F4E79"/>
            <w:vAlign w:val="center"/>
            <w:hideMark/>
          </w:tcPr>
          <w:p w:rsidR="00D50A97" w:rsidRPr="00D50A97" w:rsidRDefault="00D50A97" w:rsidP="00D50A97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Estado</w:t>
            </w: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1F4E79"/>
            <w:vAlign w:val="center"/>
            <w:hideMark/>
          </w:tcPr>
          <w:p w:rsidR="00D50A97" w:rsidRPr="00D50A97" w:rsidRDefault="00D50A97" w:rsidP="00D50A97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Última actualización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Datos biográficos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y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21/05/2026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Direcciones electrónicas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y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Relación de cargos de confianza e importe de sus retribuciones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22/05/2026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Relación de Puestos de Trabajo (RPT) completa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14/01/2026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Retribuciones de altos cargos electos y máximos responsables de entidades participadas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Indemnizaciones percibidas con ocasión del abandono de los cargos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02/09/2025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Registro de Intereses de Actividades y Bienes (Ley de Bases de Régimen Local)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Resoluciones sobre compatibilidad de actividades privadas de cargos electos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31/10/2025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Módulo de noticias municipales en la web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Noticias sobre actuaciones del equipo de gobierno relacionadas con la rendición de cuentas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Noticias sobre actuaciones de la oposición y mociones presentadas en plenos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Declaración de la renta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18/03/2026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Declaración de la renta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18/03/2026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Declaración de la renta de los cargos de libre designación / personal eventual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18/03/2026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Nómina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o relación anual de conceptos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Nómina de los concejales/as o relación anual de conceptos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Nómina de cargos de libre designación / personal eventual o relación anual de conceptos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Declaración patrimonial y de bienes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Declaración patrimonial y de bienes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Declaración patrimonial y de bienes de los cargos de libre designación / personal eventual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23/05/2026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Retribuciones por asistencia a plenos, comisiones y dietas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Retribuciones por asistencia a plenos, comisiones y dietas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CV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CV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Enlace a redes sociales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Enlace a redes sociales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Mapa de redes sociales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Organigrama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02/06/2026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Agenda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10/06/2026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Agenda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10/06/2026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Agenda de actividades municipales y ciudadanas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11/06/2026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Gastos de viaje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y de los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Titulaciones que acreditan la formación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y concejales/as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Órganos de gobierno y sus funciones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Datos básicos de organismos descentralizados, entes instrumentales y sociedades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RPT / Plantillas de personal de los organismos descentralizados y entidades dependientes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Relación de inmuebles (propios o en arrendamiento) ocupados o adscritos al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19/02/2026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Número de vehículos oficiales (propios o alquilados) adscritos al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19/02/2026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Relación de bienes muebles de valor histórico-artístico y/o de alto valor económico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03/11/2025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Inventario de Bienes y Derechos reales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19/02/2026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Parque móvil: relación de vehículos por año de matriculación, uso y valor aproximado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19/02/2026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Parque móvil de entidades dependientes: relación de vehículos por año, uso y valor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Asignaciones anuales a los grupos políticos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Ordenanzas municipales publicadas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01/06/2026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Órdenes del día de los plenos con anterioridad a su celebración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sesión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11/06/2026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Actas de los plenos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sesión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11/06/2026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Orden del día de las reuniones del gobierno y órganos colegiados (JGL) con anterioridad a su celebración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sesión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Extractos de las actas de las reuniones del gobierno y órganos colegiados (JGL)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sesión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Emisión de plenos a través de internet y/o archivo audiovisual histórico online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Preguntas de control al gobierno por parte de la oposición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sesión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Código ético o de buen gobierno (adaptado al Código FEMP)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30/07/2025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Ordenanza de Transparencia municipal (adaptada a la Ordenanza FEMP)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Resoluciones judiciales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03/11/2025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Plan de Responsabilidad Social Corporativa (RSC)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27/05/2026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Huella normativa como parte del proceso de aprobación de la normativa interna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01/06/2026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Planes y programas anuales y plurianuales con objetivos, actividades, medios y plazos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Procesos de selección de personal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01/04/2026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Acuerdos, pactos y convenios colectivos vigentes que regulan las condiciones de trabajo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03/11/2025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Memorias e informes de expedientes de elaboración de textos normativos sometidos a información pública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01/06/2026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Documentos que deben someterse a información pública durante su tramitación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Plan Estratégico de Igualdad de Género (Ley Orgánica 3/2007)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Política de gestión documental y de archivo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03/11/2025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Reglas y procedimientos vigentes para la eliminación de documentos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03/11/2025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Órganos de representación del personal, liberados sindicales, sindicato y costes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Plan de Absentismo Laboral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Datos anuales sobre absentismo laboral y evolución en los últimos 5 años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RRHH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03/11/2025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Horarios y precios de establecimientos culturales y deportivos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08/07/2025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Seguimiento online del estado de tramitación de procedimientos administrativos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Mapa del sitio web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sobre tráfico, cortes y/o incidencias en servicios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08/07/2025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actualizada sobre situación medioambiental (contaminación del aire y acústica)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Medio Ambiente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08/07/2025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Espacio en </w:t>
            </w:r>
            <w:proofErr w:type="gram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la web reservado</w:t>
            </w:r>
            <w:proofErr w:type="gram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a asociaciones de vecinos/as del municipio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05/11/2025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Foros de discusión en la web municipal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Web municipal publicada en inglés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Módulo de accesibilidad universal en la web institucional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de transparencia estructurada en la web o portal de transparencia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Toda la información de transparencia indexada en el portal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Previsualización de información sin descarga (tablas, gráficos, PDF)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Resultados de evaluaciones/auditorías de transparencia a las que se ha sometido 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Toda la información accesible a menos de tres clics desde el portal web corporativo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Huella de tiempo / fecha de actualización de cada sección del portal de transparencia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Descarga en formato reutilizable de la información del portal (XLS, CSV, HTML)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XLS/CSV/HTML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Plan Estratégico (o Mapa Estratégico) municipal aprobado y publicado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19/03/2026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Reglamento de Participación Ciudadana publicado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 / 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sobre Consejos Municipales de participación ciudadana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Composición y funcionamiento de Juntas Municipales de Distrito o Barrios (justificación de ausencia)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28/10/2025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Canales de participación ciudadana en temas estratégicos (foros, consejos, mesas ciudadanas...)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10/09/2025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 en la elaboración de los presupuestos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 / 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Carta/s de Servicios municipales y grado de cumplimiento de sus compromisos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Oficina presencial de atención ciudadana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Oficina online de atención ciudadana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Mecanismos de reglamentación colaborativa (e-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rulemaking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 / 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Concejalía de gobierno abierto, nuevas tecnologías y participación ciudadana identificada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Buzón del alcalde/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Alcaldía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Buzón de quejas y reclamaciones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Participación Ciudadana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Herramienta de comunicación de incidencias municipales (daños, reparaciones, etc.)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HTML/APP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Informes sobre resolución de incidencias a través de la herramienta ciudadana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Herramienta o formulario online para solicitar información pública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HTML/APP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Informe estadístico periódico sobre peticiones de acceso (total, resueltas, estimadas, desestimadas, inadmitidas)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20/01/2026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Herramienta o formulario para que los ciudadanos realicen propuestas o peticiones al gobierno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HTML/APP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Propuestas ciudadanas publicadas para deliberación pública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HTML/APP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Órgano competente identificado para tramitar solicitudes de acceso a la información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Unidad de Transparencia con funciones, responsable y datos de contacto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Visor o herramienta de rendición de cuentas sobre compromisos electorales/de gobierno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Catálogo de información pública aprobado (con órgano responsable, plazos y formatos)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Alegaciones formuladas al presupuesto en el período de información pública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Modificaciones presupuestarias aprobadas por el Pleno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Presupuestos de organismos descentralizados, entes instrumentales y sociedades municipales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Superávit (o déficit) por habitante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Autonomía fiscal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Ingresos fiscales por habitante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Gasto por habitante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Inversión por habitante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Período Medio de Pago (PMP)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Trimestral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Período Medio de Cobro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Importe de la deuda pública municipal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Evolución de la deuda en comparación con ejercicios anteriores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Endeudamiento por habitante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Endeudamiento relativo (Deuda / Presupuesto total)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Presupuesto con descripción de principales partidas y estado de ejecución actualizado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Cuentas Anuales / Cuenta General (Balance, Cuenta de resultados, Memoria, Liquidación)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Informes de auditoría de cuentas y fiscalización por órganos de control externo (Cámara/Tribunal de Cuentas)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Aprobación del presupuesto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Memoria del presupuesto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Estado de consolidación presupuestaria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Informe económico-financiero del presupuesto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Informe de estabilidad presupuestaria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Bases de ejecución presupuestaria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Cuentas anuales de entidades dependientes (Balance, Cuenta de resultados, Memoria, Liquidación)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trimestral o semestral sobre la ejecución presupuestaria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Trimestral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Estado de Ingresos y Gastos (Ayuntamiento, entidades dependientes y entes)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Visor de Transparencia Económico-Financiera: presupuesto y ejecución de forma gráfica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Porcentaje de ejecución/liquidación desglosado por clasificación económica y funcional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Herramienta que permite a los vecinos conocer su aportación al presupuesto municipal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clara y explicativa del presupuesto municipal, su estructura y principales conceptos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Composición, forma de designación y convocatorias de las Mesas de Contratación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Actas de las Mesas de Contratación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Todos los procedimientos de contratación publicados en la Plataforma de Contratación del Estado (PLACSP)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Lista y/o cuantía de operaciones con los proveedores más importantes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HTML/XLSX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16/09/2025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Lista y/o cuantía de operaciones con los adjudicatarios y contratistas más importantes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HTML/XLSX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16/09/2025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Todos los contratos formalizados (objeto, importe, procedimiento, licitadores, adjudicatarios)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Contratación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Modificaciones de los contratos formalizados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Contratación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Contratos menores formalizados (al menos trimestralmente, de forma agregada)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Trimestral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HTML/XLSX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Estadísticas sobre el porcentaje en volumen presupuestario de contratos por procedimiento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Contratación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Normativa vigente de contratación pública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Relación de convenios suscritos (partes, objeto, obligaciones económicas)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30/10/2025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Subvenciones y ayudas públicas concedidas (importe, objetivo, beneficiarios)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Encomiendas de gestión firmadas por la entidad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Concesiones administrativas firmadas por la entidad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27/10/2025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Gasto público realizado en campañas de publicidad institucional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Contratos públicos de emergencia y afectación sobre contratos en curso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25/05/2026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Licitaciones abiertas con plazo de presentación de proposiciones en el portal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04/06/2026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Estadísticas de contratos adjudicados por importes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HTML/XLSX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Visor de contratos con filtros, desgloses y evolución de la contratación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 / 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Listado completo de adjudicatarios con acceso a información de todos sus contratos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Plazo medio de resolución de los procedimientos de contratación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 / 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09/06/2026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Convocatorias de subvenciones abiertas publicadas en el portal de transparencia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Listado completo de convocatorias de subvenciones con información principal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Subvenciones y ayudas recibidas de otras administraciones (importe, objetivo o finalidad)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Listado completo de beneficiarios de subvenciones (con </w:t>
            </w:r>
            <w:proofErr w:type="spellStart"/>
            <w:r w:rsidRPr="00D50A97">
              <w:rPr>
                <w:rFonts w:eastAsia="Times New Roman"/>
                <w:color w:val="111111"/>
                <w:sz w:val="16"/>
                <w:szCs w:val="16"/>
              </w:rPr>
              <w:t>anonimización</w:t>
            </w:r>
            <w:proofErr w:type="spellEnd"/>
            <w:r w:rsidRPr="00D50A97">
              <w:rPr>
                <w:rFonts w:eastAsia="Times New Roman"/>
                <w:color w:val="111111"/>
                <w:sz w:val="16"/>
                <w:szCs w:val="16"/>
              </w:rPr>
              <w:t xml:space="preserve"> cuando proceda)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Visor de subvenciones con filtros por año, tipo de convocatoria y visualizaciones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 / 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Datos de subvenciones desglosados por objetivo o política pública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Sección visible en la web dedicada al Urbanismo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Plan General de Ordenación Urbana (PGOU) publicado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Mapas y planos que detallan el PGOU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Modificaciones aprobadas del PGOU publicadas y mantenidas actualizadas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07/11/2025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precisa de los convenios urbanísticos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 / 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PDF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2CC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precisa de los planes parciales sobre usos y destinos del suelo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Normativa vigente en materia de gestión urbanística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cambio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Proyectos, pliegos y criterios de licitación de las obras públicas más importantes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 / 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27/10/2025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Modificaciones de los proyectos de las obras más importantes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 / 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27/10/2025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Actas de la comisión informativa de obras y urbanismo (o justificación de ausencia)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Tras cada sesión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27/10/2025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Listado de empresas que han concurrido a la licitación de obras públicas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Nombre de las empresas que han realizado las obras de urbanización más importantes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Información sobre cada obra importante en curso (objetivos, contratista, importe, período)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 / 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Fecha prevista de finalización de obras &gt;500.000 € o fecha de inicio y plazo de ejecución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05/11/2025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Difusión periódica (al menos semestral) sobre obras de infraestructura realizadas o pendientes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 / Secretaría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Semestral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HTML/DOCX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08/06/2026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Visor o herramienta para conocer obras e infraestructuras: estado, presupuesto y evolución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 / 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lastRenderedPageBreak/>
              <w:t>Sistema de gestión integral territorial y/o de planeamiento urbano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Inversión en infraestructuras por habitante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 / Urbanismo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31/10/2025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Porcentaje de ingresos derivados del urbanismo / Presupuesto total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4EAC8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31/10/2025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Indicador: Porcentaje de gastos derivados del urbanismo / Presupuesto total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Intervención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Anual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31/10/2025</w:t>
            </w:r>
          </w:p>
        </w:tc>
      </w:tr>
      <w:tr w:rsidR="00D50A97" w:rsidRPr="00D50A97" w:rsidTr="00D50A97">
        <w:trPr>
          <w:trHeight w:val="46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Datos publicados en formato abierto (XLS, CSV, HTML, JSON descargables desde el portal)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XLS/CSV/HTML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✔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Publicado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E2EFDA"/>
            <w:vAlign w:val="center"/>
            <w:hideMark/>
          </w:tcPr>
          <w:p w:rsidR="00D50A97" w:rsidRPr="00D50A97" w:rsidRDefault="00D50A97" w:rsidP="00D50A97">
            <w:pPr>
              <w:jc w:val="right"/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13/08/2025</w:t>
            </w:r>
          </w:p>
        </w:tc>
      </w:tr>
      <w:tr w:rsidR="00D50A97" w:rsidRPr="00D50A97" w:rsidTr="00D50A97">
        <w:trPr>
          <w:trHeight w:val="315"/>
        </w:trPr>
        <w:tc>
          <w:tcPr>
            <w:tcW w:w="804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Plataforma open data propia del ayuntamiento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NTI / Transparencia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Continua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color w:val="111111"/>
                <w:sz w:val="16"/>
                <w:szCs w:val="16"/>
              </w:rPr>
              <w:t>HTML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ascii="Segoe UI Emoji" w:eastAsia="Times New Roman" w:hAnsi="Segoe UI Emoji" w:cs="Segoe UI Emoji"/>
                <w:b/>
                <w:bCs/>
                <w:color w:val="111111"/>
                <w:sz w:val="16"/>
                <w:szCs w:val="16"/>
              </w:rPr>
              <w:t>⏳</w:t>
            </w: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 xml:space="preserve"> Pendiente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E699"/>
            <w:vAlign w:val="center"/>
            <w:hideMark/>
          </w:tcPr>
          <w:p w:rsidR="00D50A97" w:rsidRPr="00D50A97" w:rsidRDefault="00D50A97" w:rsidP="00D50A97">
            <w:pPr>
              <w:rPr>
                <w:rFonts w:eastAsia="Times New Roman"/>
                <w:b/>
                <w:bCs/>
                <w:color w:val="111111"/>
                <w:sz w:val="16"/>
                <w:szCs w:val="16"/>
              </w:rPr>
            </w:pPr>
            <w:r w:rsidRPr="00D50A97">
              <w:rPr>
                <w:rFonts w:eastAsia="Times New Roman"/>
                <w:b/>
                <w:bCs/>
                <w:color w:val="111111"/>
                <w:sz w:val="16"/>
                <w:szCs w:val="16"/>
              </w:rPr>
              <w:t> </w:t>
            </w:r>
          </w:p>
        </w:tc>
      </w:tr>
    </w:tbl>
    <w:p w:rsidR="00EC0F72" w:rsidRDefault="00EC0F72">
      <w:pPr>
        <w:spacing w:after="120"/>
      </w:pPr>
    </w:p>
    <w:p w:rsidR="00EC0F72" w:rsidRDefault="00140F60">
      <w:pPr>
        <w:pStyle w:val="Ttulo2"/>
      </w:pPr>
      <w:bookmarkStart w:id="0" w:name="_GoBack"/>
      <w:bookmarkEnd w:id="0"/>
      <w:r>
        <w:t>4. Notas de gestión</w:t>
      </w:r>
    </w:p>
    <w:p w:rsidR="00EC0F72" w:rsidRDefault="00140F60">
      <w:pPr>
        <w:spacing w:after="80"/>
      </w:pPr>
      <w:r>
        <w:rPr>
          <w:color w:val="333333"/>
          <w:sz w:val="17"/>
          <w:szCs w:val="17"/>
        </w:rPr>
        <w:t>a) Responsabilidad: Cada concejalía comunicará a la Concejalía de Nuevas Tecnologías y Transparencia cualquier cambio en la información de su ámbito con antelación suficiente para cumplir los plazos establecidos.</w:t>
      </w:r>
    </w:p>
    <w:p w:rsidR="00EC0F72" w:rsidRDefault="00140F60">
      <w:pPr>
        <w:spacing w:after="80"/>
      </w:pPr>
      <w:r>
        <w:rPr>
          <w:color w:val="333333"/>
          <w:sz w:val="17"/>
          <w:szCs w:val="17"/>
        </w:rPr>
        <w:t>b) Revisión: Este catálogo se revisará anualmente o ante cambios normativos u organizativos que afecten a los contenidos publicados.</w:t>
      </w:r>
    </w:p>
    <w:p w:rsidR="00EC0F72" w:rsidRDefault="00140F60">
      <w:pPr>
        <w:spacing w:after="80"/>
      </w:pPr>
      <w:r>
        <w:rPr>
          <w:color w:val="333333"/>
          <w:sz w:val="17"/>
          <w:szCs w:val="17"/>
        </w:rPr>
        <w:t>c) Plan de mejora: Los 25 indicadores marcados como pendientes constituyen el plan de mejora del portal para 2026. La Concejalía de Nuevas Tecnologías y Transparencia coordinará su publicación.</w:t>
      </w:r>
    </w:p>
    <w:p w:rsidR="00EC0F72" w:rsidRDefault="00140F60">
      <w:pPr>
        <w:spacing w:after="80"/>
      </w:pPr>
      <w:r>
        <w:rPr>
          <w:color w:val="333333"/>
          <w:sz w:val="17"/>
          <w:szCs w:val="17"/>
        </w:rPr>
        <w:t xml:space="preserve">d) Anonimización: La publicación de datos personales se realizará conforme al Reglamento (UE) 2016/679 (RGPD) y la Ley Orgánica 3/2018 (LOPDGDD), aplicándose la técnica de </w:t>
      </w:r>
      <w:proofErr w:type="spellStart"/>
      <w:r>
        <w:rPr>
          <w:color w:val="333333"/>
          <w:sz w:val="17"/>
          <w:szCs w:val="17"/>
        </w:rPr>
        <w:t>anonimización</w:t>
      </w:r>
      <w:proofErr w:type="spellEnd"/>
      <w:r>
        <w:rPr>
          <w:color w:val="333333"/>
          <w:sz w:val="17"/>
          <w:szCs w:val="17"/>
        </w:rPr>
        <w:t xml:space="preserve"> o disociación cuando proceda.</w:t>
      </w:r>
    </w:p>
    <w:p w:rsidR="00EC0F72" w:rsidRDefault="00140F60">
      <w:pPr>
        <w:spacing w:after="80"/>
      </w:pPr>
      <w:r>
        <w:rPr>
          <w:color w:val="333333"/>
          <w:sz w:val="17"/>
          <w:szCs w:val="17"/>
        </w:rPr>
        <w:t>e) Formatos abiertos: Se priorizarán formatos reutilizables (HTML, JSON, CSV, XML) conforme al artículo 5.4 de la Ley 19/2013.</w:t>
      </w:r>
    </w:p>
    <w:sectPr w:rsidR="00EC0F72">
      <w:headerReference w:type="default" r:id="rId8"/>
      <w:footerReference w:type="default" r:id="rId9"/>
      <w:pgSz w:w="16838" w:h="11906"/>
      <w:pgMar w:top="800" w:right="700" w:bottom="800" w:left="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45" w:rsidRDefault="00AB7145">
      <w:r>
        <w:separator/>
      </w:r>
    </w:p>
  </w:endnote>
  <w:endnote w:type="continuationSeparator" w:id="0">
    <w:p w:rsidR="00AB7145" w:rsidRDefault="00AB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145" w:rsidRDefault="00AB7145">
    <w:pPr>
      <w:pBdr>
        <w:top w:val="single" w:sz="4" w:space="1" w:color="2E75B6"/>
      </w:pBdr>
      <w:tabs>
        <w:tab w:val="right" w:pos="15438"/>
      </w:tabs>
      <w:spacing w:before="80"/>
    </w:pPr>
    <w:r>
      <w:rPr>
        <w:color w:val="888888"/>
        <w:sz w:val="14"/>
        <w:szCs w:val="14"/>
      </w:rPr>
      <w:t>transparencia.ayto-humanesdemadrid.es/t</w:t>
    </w:r>
    <w:r>
      <w:rPr>
        <w:color w:val="888888"/>
        <w:sz w:val="14"/>
        <w:szCs w:val="14"/>
      </w:rPr>
      <w:tab/>
      <w:t xml:space="preserve">Página </w:t>
    </w:r>
    <w:r>
      <w:rPr>
        <w:color w:val="888888"/>
        <w:sz w:val="14"/>
        <w:szCs w:val="14"/>
      </w:rPr>
      <w:fldChar w:fldCharType="begin"/>
    </w:r>
    <w:r>
      <w:rPr>
        <w:color w:val="888888"/>
        <w:sz w:val="14"/>
        <w:szCs w:val="14"/>
      </w:rPr>
      <w:instrText>PAGE</w:instrText>
    </w:r>
    <w:r>
      <w:rPr>
        <w:color w:val="888888"/>
        <w:sz w:val="14"/>
        <w:szCs w:val="14"/>
      </w:rPr>
      <w:fldChar w:fldCharType="separate"/>
    </w:r>
    <w:r>
      <w:rPr>
        <w:noProof/>
        <w:color w:val="888888"/>
        <w:sz w:val="14"/>
        <w:szCs w:val="14"/>
      </w:rPr>
      <w:t>1</w:t>
    </w:r>
    <w:r>
      <w:rPr>
        <w:color w:val="88888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45" w:rsidRDefault="00AB7145">
      <w:r>
        <w:separator/>
      </w:r>
    </w:p>
  </w:footnote>
  <w:footnote w:type="continuationSeparator" w:id="0">
    <w:p w:rsidR="00AB7145" w:rsidRDefault="00AB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145" w:rsidRPr="00140F60" w:rsidRDefault="00AB7145">
    <w:pPr>
      <w:pBdr>
        <w:bottom w:val="single" w:sz="6" w:space="1" w:color="2E75B6"/>
      </w:pBdr>
      <w:spacing w:after="80"/>
      <w:rPr>
        <w:color w:val="666666"/>
        <w:sz w:val="16"/>
        <w:szCs w:val="16"/>
      </w:rPr>
    </w:pPr>
    <w:r>
      <w:rPr>
        <w:b/>
        <w:bCs/>
        <w:color w:val="1F4E79"/>
        <w:sz w:val="17"/>
        <w:szCs w:val="17"/>
      </w:rPr>
      <w:t>AYUNTAMIENTO DE HUMANES DE MADRID</w:t>
    </w:r>
    <w:r>
      <w:rPr>
        <w:color w:val="666666"/>
        <w:sz w:val="16"/>
        <w:szCs w:val="16"/>
      </w:rPr>
      <w:t xml:space="preserve">   |   Catálogo de Información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C02"/>
    <w:multiLevelType w:val="hybridMultilevel"/>
    <w:tmpl w:val="5A8C234C"/>
    <w:lvl w:ilvl="0" w:tplc="9B0EE0D8">
      <w:start w:val="1"/>
      <w:numFmt w:val="bullet"/>
      <w:lvlText w:val="●"/>
      <w:lvlJc w:val="left"/>
      <w:pPr>
        <w:ind w:left="720" w:hanging="360"/>
      </w:pPr>
    </w:lvl>
    <w:lvl w:ilvl="1" w:tplc="7472AC70">
      <w:start w:val="1"/>
      <w:numFmt w:val="bullet"/>
      <w:lvlText w:val="○"/>
      <w:lvlJc w:val="left"/>
      <w:pPr>
        <w:ind w:left="1440" w:hanging="360"/>
      </w:pPr>
    </w:lvl>
    <w:lvl w:ilvl="2" w:tplc="C97E9250">
      <w:start w:val="1"/>
      <w:numFmt w:val="bullet"/>
      <w:lvlText w:val="■"/>
      <w:lvlJc w:val="left"/>
      <w:pPr>
        <w:ind w:left="2160" w:hanging="360"/>
      </w:pPr>
    </w:lvl>
    <w:lvl w:ilvl="3" w:tplc="83AE0F7E">
      <w:start w:val="1"/>
      <w:numFmt w:val="bullet"/>
      <w:lvlText w:val="●"/>
      <w:lvlJc w:val="left"/>
      <w:pPr>
        <w:ind w:left="2880" w:hanging="360"/>
      </w:pPr>
    </w:lvl>
    <w:lvl w:ilvl="4" w:tplc="91FE268C">
      <w:start w:val="1"/>
      <w:numFmt w:val="bullet"/>
      <w:lvlText w:val="○"/>
      <w:lvlJc w:val="left"/>
      <w:pPr>
        <w:ind w:left="3600" w:hanging="360"/>
      </w:pPr>
    </w:lvl>
    <w:lvl w:ilvl="5" w:tplc="0EB0BE6C">
      <w:start w:val="1"/>
      <w:numFmt w:val="bullet"/>
      <w:lvlText w:val="■"/>
      <w:lvlJc w:val="left"/>
      <w:pPr>
        <w:ind w:left="4320" w:hanging="360"/>
      </w:pPr>
    </w:lvl>
    <w:lvl w:ilvl="6" w:tplc="E9947C64">
      <w:start w:val="1"/>
      <w:numFmt w:val="bullet"/>
      <w:lvlText w:val="●"/>
      <w:lvlJc w:val="left"/>
      <w:pPr>
        <w:ind w:left="5040" w:hanging="360"/>
      </w:pPr>
    </w:lvl>
    <w:lvl w:ilvl="7" w:tplc="A0AEAB4C">
      <w:start w:val="1"/>
      <w:numFmt w:val="bullet"/>
      <w:lvlText w:val="●"/>
      <w:lvlJc w:val="left"/>
      <w:pPr>
        <w:ind w:left="5760" w:hanging="360"/>
      </w:pPr>
    </w:lvl>
    <w:lvl w:ilvl="8" w:tplc="197ABD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2"/>
    <w:rsid w:val="00013D96"/>
    <w:rsid w:val="000144DE"/>
    <w:rsid w:val="00140F60"/>
    <w:rsid w:val="004104FC"/>
    <w:rsid w:val="00AB7145"/>
    <w:rsid w:val="00D50A97"/>
    <w:rsid w:val="00E92533"/>
    <w:rsid w:val="00E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3789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180" w:after="140"/>
      <w:outlineLvl w:val="0"/>
    </w:pPr>
    <w:rPr>
      <w:b/>
      <w:bCs/>
      <w:color w:val="1F4E79"/>
      <w:sz w:val="36"/>
      <w:szCs w:val="36"/>
    </w:rPr>
  </w:style>
  <w:style w:type="paragraph" w:styleId="Ttulo2">
    <w:name w:val="heading 2"/>
    <w:uiPriority w:val="9"/>
    <w:unhideWhenUsed/>
    <w:qFormat/>
    <w:pPr>
      <w:spacing w:before="160" w:after="100"/>
      <w:outlineLvl w:val="1"/>
    </w:pPr>
    <w:rPr>
      <w:b/>
      <w:bCs/>
      <w:color w:val="2E75B6"/>
      <w:sz w:val="23"/>
      <w:szCs w:val="23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40F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F60"/>
  </w:style>
  <w:style w:type="paragraph" w:styleId="Piedepgina">
    <w:name w:val="footer"/>
    <w:basedOn w:val="Normal"/>
    <w:link w:val="PiedepginaCar"/>
    <w:uiPriority w:val="99"/>
    <w:unhideWhenUsed/>
    <w:rsid w:val="00140F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F60"/>
  </w:style>
  <w:style w:type="character" w:styleId="Mencinsinresolver">
    <w:name w:val="Unresolved Mention"/>
    <w:basedOn w:val="Fuentedeprrafopredeter"/>
    <w:uiPriority w:val="99"/>
    <w:semiHidden/>
    <w:unhideWhenUsed/>
    <w:rsid w:val="000144D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A97"/>
    <w:rPr>
      <w:color w:val="954F72"/>
      <w:u w:val="single"/>
    </w:rPr>
  </w:style>
  <w:style w:type="paragraph" w:customStyle="1" w:styleId="msonormal0">
    <w:name w:val="msonormal"/>
    <w:basedOn w:val="Normal"/>
    <w:rsid w:val="00D50A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50A97"/>
    <w:pPr>
      <w:pBdr>
        <w:top w:val="single" w:sz="8" w:space="0" w:color="C0C0C0"/>
        <w:bottom w:val="single" w:sz="8" w:space="0" w:color="C0C0C0"/>
        <w:right w:val="single" w:sz="8" w:space="0" w:color="C0C0C0"/>
      </w:pBdr>
      <w:shd w:val="clear" w:color="000000" w:fill="1F4E7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color w:val="111111"/>
      <w:sz w:val="16"/>
      <w:szCs w:val="16"/>
    </w:rPr>
  </w:style>
  <w:style w:type="paragraph" w:customStyle="1" w:styleId="xl67">
    <w:name w:val="xl67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  <w:color w:val="111111"/>
      <w:sz w:val="16"/>
      <w:szCs w:val="16"/>
    </w:rPr>
  </w:style>
  <w:style w:type="paragraph" w:customStyle="1" w:styleId="xl68">
    <w:name w:val="xl68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D4EAC8"/>
      <w:spacing w:before="100" w:beforeAutospacing="1" w:after="100" w:afterAutospacing="1"/>
      <w:textAlignment w:val="center"/>
    </w:pPr>
    <w:rPr>
      <w:rFonts w:eastAsia="Times New Roman"/>
      <w:color w:val="111111"/>
      <w:sz w:val="16"/>
      <w:szCs w:val="16"/>
    </w:rPr>
  </w:style>
  <w:style w:type="paragraph" w:customStyle="1" w:styleId="xl69">
    <w:name w:val="xl69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D4EAC8"/>
      <w:spacing w:before="100" w:beforeAutospacing="1" w:after="100" w:afterAutospacing="1"/>
      <w:textAlignment w:val="center"/>
    </w:pPr>
    <w:rPr>
      <w:rFonts w:eastAsia="Times New Roman"/>
      <w:b/>
      <w:bCs/>
      <w:color w:val="111111"/>
      <w:sz w:val="16"/>
      <w:szCs w:val="16"/>
    </w:rPr>
  </w:style>
  <w:style w:type="paragraph" w:customStyle="1" w:styleId="xl70">
    <w:name w:val="xl70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FFF2CC"/>
      <w:spacing w:before="100" w:beforeAutospacing="1" w:after="100" w:afterAutospacing="1"/>
      <w:textAlignment w:val="center"/>
    </w:pPr>
    <w:rPr>
      <w:rFonts w:eastAsia="Times New Roman"/>
      <w:color w:val="111111"/>
      <w:sz w:val="16"/>
      <w:szCs w:val="16"/>
    </w:rPr>
  </w:style>
  <w:style w:type="paragraph" w:customStyle="1" w:styleId="xl71">
    <w:name w:val="xl71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FFF2CC"/>
      <w:spacing w:before="100" w:beforeAutospacing="1" w:after="100" w:afterAutospacing="1"/>
      <w:textAlignment w:val="center"/>
    </w:pPr>
    <w:rPr>
      <w:rFonts w:eastAsia="Times New Roman"/>
      <w:b/>
      <w:bCs/>
      <w:color w:val="111111"/>
      <w:sz w:val="16"/>
      <w:szCs w:val="16"/>
    </w:rPr>
  </w:style>
  <w:style w:type="paragraph" w:customStyle="1" w:styleId="xl72">
    <w:name w:val="xl72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FFE699"/>
      <w:spacing w:before="100" w:beforeAutospacing="1" w:after="100" w:afterAutospacing="1"/>
      <w:textAlignment w:val="center"/>
    </w:pPr>
    <w:rPr>
      <w:rFonts w:eastAsia="Times New Roman"/>
      <w:color w:val="111111"/>
      <w:sz w:val="16"/>
      <w:szCs w:val="16"/>
    </w:rPr>
  </w:style>
  <w:style w:type="paragraph" w:customStyle="1" w:styleId="xl73">
    <w:name w:val="xl73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FFE699"/>
      <w:spacing w:before="100" w:beforeAutospacing="1" w:after="100" w:afterAutospacing="1"/>
      <w:textAlignment w:val="center"/>
    </w:pPr>
    <w:rPr>
      <w:rFonts w:eastAsia="Times New Roman"/>
      <w:b/>
      <w:bCs/>
      <w:color w:val="111111"/>
      <w:sz w:val="16"/>
      <w:szCs w:val="16"/>
    </w:rPr>
  </w:style>
  <w:style w:type="paragraph" w:customStyle="1" w:styleId="xl74">
    <w:name w:val="xl74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  <w:color w:val="111111"/>
      <w:sz w:val="16"/>
      <w:szCs w:val="16"/>
    </w:rPr>
  </w:style>
  <w:style w:type="paragraph" w:customStyle="1" w:styleId="xl75">
    <w:name w:val="xl75"/>
    <w:basedOn w:val="Normal"/>
    <w:rsid w:val="00D50A97"/>
    <w:pPr>
      <w:pBdr>
        <w:bottom w:val="single" w:sz="8" w:space="0" w:color="C0C0C0"/>
        <w:right w:val="single" w:sz="8" w:space="0" w:color="C0C0C0"/>
      </w:pBdr>
      <w:shd w:val="clear" w:color="000000" w:fill="D4EAC8"/>
      <w:spacing w:before="100" w:beforeAutospacing="1" w:after="100" w:afterAutospacing="1"/>
      <w:textAlignment w:val="center"/>
    </w:pPr>
    <w:rPr>
      <w:rFonts w:eastAsia="Times New Roman"/>
      <w:b/>
      <w:bCs/>
      <w:color w:val="11111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ayto-humanesdemadrid.es/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3719</Words>
  <Characters>20455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MARTIN ALONSO</cp:lastModifiedBy>
  <cp:revision>5</cp:revision>
  <dcterms:created xsi:type="dcterms:W3CDTF">2026-06-11T06:39:00Z</dcterms:created>
  <dcterms:modified xsi:type="dcterms:W3CDTF">2026-06-11T09:09:00Z</dcterms:modified>
</cp:coreProperties>
</file>