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CDB" w:rsidRDefault="00860A51">
      <w:pPr>
        <w:spacing w:after="60"/>
        <w:jc w:val="center"/>
      </w:pPr>
      <w:r>
        <w:rPr>
          <w:b/>
          <w:bCs/>
          <w:sz w:val="24"/>
          <w:szCs w:val="24"/>
        </w:rPr>
        <w:t>PRESUPUESTO DE LOS ENTES INTEGRANTES (CONSOLIDADO) 2026</w:t>
      </w:r>
    </w:p>
    <w:p w:rsidR="00107CDB" w:rsidRDefault="00860A51">
      <w:pPr>
        <w:spacing w:after="240"/>
        <w:jc w:val="center"/>
      </w:pPr>
      <w:r>
        <w:rPr>
          <w:i/>
          <w:iCs/>
        </w:rPr>
        <w:t>Estado de consolidación del Presupuesto General</w:t>
      </w:r>
    </w:p>
    <w:p w:rsidR="00107CDB" w:rsidRDefault="00860A51">
      <w:pPr>
        <w:spacing w:after="140" w:line="276" w:lineRule="auto"/>
        <w:jc w:val="both"/>
      </w:pPr>
      <w:r>
        <w:t>De conformidad con el artículo 166.1.c) del Texto Refundido de la Ley Reguladora de las Haciendas Locales, aprobado por Real Decreto Legislativo 2/2004, de 5 de marzo, y el artículo 12.c) del Real Decreto 500/1990, de 20 de abril, se une al Presupuesto Gen</w:t>
      </w:r>
      <w:r>
        <w:t>eral como anexo el estado de consolidación del presupuesto de la propia entidad con los presupuestos y estados de previsión de sus organismos autónomos y sociedades mercantiles dependientes.</w:t>
      </w:r>
    </w:p>
    <w:p w:rsidR="00107CDB" w:rsidRDefault="00860A51">
      <w:pPr>
        <w:spacing w:after="140" w:line="276" w:lineRule="auto"/>
        <w:jc w:val="both"/>
      </w:pPr>
      <w:r>
        <w:t>Hasta el ejercicio 2023</w:t>
      </w:r>
      <w:r>
        <w:t xml:space="preserve">, el Presupuesto General del Ayuntamiento </w:t>
      </w:r>
      <w:r>
        <w:t>de Humanes de Madrid integraba, junto al presupuesto de la propia entidad, el estado de previsión de gastos e ingresos de la Empresa Municipal de la Vivienda (EMV), sociedad mercantil dependiente del Ayuntamiento. La EMV fue disuelta y liquidada en el ejer</w:t>
      </w:r>
      <w:r>
        <w:t>cicio 2023</w:t>
      </w:r>
      <w:r w:rsidRPr="00860A51">
        <w:t xml:space="preserve">, </w:t>
      </w:r>
      <w:r w:rsidRPr="00860A51">
        <w:t>en ejecución del acuerdo del Pleno de fecha 9</w:t>
      </w:r>
      <w:r w:rsidRPr="00860A51">
        <w:t xml:space="preserve"> de octubre</w:t>
      </w:r>
      <w:r w:rsidRPr="00860A51">
        <w:t xml:space="preserve"> de 2023,</w:t>
      </w:r>
      <w:r>
        <w:t xml:space="preserve"> quedando extinguida su personalidad jurídica.</w:t>
      </w:r>
    </w:p>
    <w:p w:rsidR="00107CDB" w:rsidRDefault="00860A51">
      <w:pPr>
        <w:spacing w:after="140" w:line="276" w:lineRule="auto"/>
        <w:jc w:val="both"/>
      </w:pPr>
      <w:r>
        <w:t>Desde entonces, el Ayuntamiento no cuenta con organismos autónomos, so</w:t>
      </w:r>
      <w:r>
        <w:t>ciedades mercantiles ni otros entes dependientes cuyos presupuestos o estados de previsión deban integrarse en el Presupuesto General. En consecuencia, el Presupuesto General para 2026 está formado exclusivamente por el presupuesto de la propia entidad, no</w:t>
      </w:r>
      <w:r>
        <w:t xml:space="preserve"> existen transferencias ni operaciones internas entre entes que deban eliminarse, y el estado consolidado coincide con el presupuesto del Ayuntamiento, que asciende a </w:t>
      </w:r>
      <w:r>
        <w:rPr>
          <w:b/>
          <w:bCs/>
        </w:rPr>
        <w:t>25.572.423,92 euros</w:t>
      </w:r>
      <w:r>
        <w:t>, equilibrado en ingresos y gastos.</w:t>
      </w:r>
    </w:p>
    <w:p w:rsidR="00107CDB" w:rsidRDefault="00860A51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240" w:after="120"/>
        <w:jc w:val="center"/>
      </w:pPr>
      <w:r>
        <w:rPr>
          <w:b/>
          <w:bCs/>
        </w:rPr>
        <w:t>ESTADO DE INGRESOS</w:t>
      </w:r>
    </w:p>
    <w:tbl>
      <w:tblPr>
        <w:tblW w:w="8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6"/>
        <w:gridCol w:w="1700"/>
        <w:gridCol w:w="1700"/>
        <w:gridCol w:w="1700"/>
      </w:tblGrid>
      <w:tr w:rsidR="00107CDB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CAPÍTULO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AYUNTA</w:t>
            </w:r>
            <w:r>
              <w:rPr>
                <w:b/>
                <w:bCs/>
                <w:sz w:val="19"/>
                <w:szCs w:val="19"/>
              </w:rPr>
              <w:t>MIENTO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ELIMINACIONES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CONSOLIDADO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1. Impuestos directos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8.290.816,55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8.290.816,55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2. Impuestos indirectos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1.002.994,49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1.002.994,49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3. Tasas, precios públicos y otros ingresos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4.374.770,11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4.374.770,11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4. Transferencias corrientes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11.747.927,88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11.747.927,88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5. Ingresos patrimoniales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155.914,89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155.914,89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6. Enajenación de inversiones reales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7. Transferencias de capital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8. Activos financieros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9. Pasivos financieros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TOTAL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25.572.423,92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25.572.423,92</w:t>
            </w:r>
          </w:p>
        </w:tc>
      </w:tr>
    </w:tbl>
    <w:p w:rsidR="00107CDB" w:rsidRDefault="00107CDB">
      <w:pPr>
        <w:pageBreakBefore/>
      </w:pPr>
    </w:p>
    <w:p w:rsidR="00107CDB" w:rsidRDefault="00860A51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before="240" w:after="120"/>
        <w:jc w:val="center"/>
      </w:pPr>
      <w:r>
        <w:rPr>
          <w:b/>
          <w:bCs/>
        </w:rPr>
        <w:t>ESTADO DE GASTOS</w:t>
      </w:r>
    </w:p>
    <w:tbl>
      <w:tblPr>
        <w:tblW w:w="8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6"/>
        <w:gridCol w:w="1700"/>
        <w:gridCol w:w="1700"/>
        <w:gridCol w:w="1700"/>
      </w:tblGrid>
      <w:tr w:rsidR="00107CDB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CAPÍTULO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AYUNTAMIENTO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ELIMINACIONES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CONSOLIDADO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1. Gastos de personal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9.663.584,24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9.663.584,24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2. Gastos en bienes corrientes y servicios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10.321.199,94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10.321.199,94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3. Gastos financieros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57.510,00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57.510,00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4. Transferencias corrientes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1.182.203,80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1.182.203,80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5. Fondo de contingencia y otros imprevistos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50.000,00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50.000,00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6. Inversiones reales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3.636.094,63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3.636.094,63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7. Transferencias de capital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661.831,31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661.831,31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8. Activos financieros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9. Pasivos financieros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sz w:val="19"/>
                <w:szCs w:val="19"/>
              </w:rPr>
              <w:t>0,00</w:t>
            </w:r>
          </w:p>
        </w:tc>
      </w:tr>
      <w:tr w:rsidR="00107CDB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r>
              <w:rPr>
                <w:b/>
                <w:bCs/>
                <w:sz w:val="19"/>
                <w:szCs w:val="19"/>
              </w:rPr>
              <w:t>TOTAL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25.572.423,92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07CDB" w:rsidRDefault="00860A51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25.572.423,92</w:t>
            </w:r>
          </w:p>
        </w:tc>
      </w:tr>
    </w:tbl>
    <w:p w:rsidR="00107CDB" w:rsidRDefault="00107CDB">
      <w:pPr>
        <w:spacing w:before="200"/>
      </w:pPr>
      <w:bookmarkStart w:id="0" w:name="_GoBack"/>
      <w:bookmarkEnd w:id="0"/>
    </w:p>
    <w:sectPr w:rsidR="00107CDB">
      <w:headerReference w:type="default" r:id="rId7"/>
      <w:pgSz w:w="11906" w:h="16838"/>
      <w:pgMar w:top="2400" w:right="1300" w:bottom="1300" w:left="1900" w:header="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60A51">
      <w:r>
        <w:separator/>
      </w:r>
    </w:p>
  </w:endnote>
  <w:endnote w:type="continuationSeparator" w:id="0">
    <w:p w:rsidR="00000000" w:rsidRDefault="00860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60A51">
      <w:r>
        <w:separator/>
      </w:r>
    </w:p>
  </w:footnote>
  <w:footnote w:type="continuationSeparator" w:id="0">
    <w:p w:rsidR="00000000" w:rsidRDefault="00860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7CDB" w:rsidRDefault="00860A51">
    <w:r>
      <w:rPr>
        <w:noProof/>
      </w:rPr>
      <w:drawing>
        <wp:anchor distT="0" distB="0" distL="0" distR="0" simplePos="0" relativeHeight="10696575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885454"/>
    <w:multiLevelType w:val="hybridMultilevel"/>
    <w:tmpl w:val="D5B4F3E2"/>
    <w:lvl w:ilvl="0" w:tplc="CA6C3A50">
      <w:start w:val="1"/>
      <w:numFmt w:val="bullet"/>
      <w:lvlText w:val="●"/>
      <w:lvlJc w:val="left"/>
      <w:pPr>
        <w:ind w:left="720" w:hanging="360"/>
      </w:pPr>
    </w:lvl>
    <w:lvl w:ilvl="1" w:tplc="7F42A354">
      <w:start w:val="1"/>
      <w:numFmt w:val="bullet"/>
      <w:lvlText w:val="○"/>
      <w:lvlJc w:val="left"/>
      <w:pPr>
        <w:ind w:left="1440" w:hanging="360"/>
      </w:pPr>
    </w:lvl>
    <w:lvl w:ilvl="2" w:tplc="4B764430">
      <w:start w:val="1"/>
      <w:numFmt w:val="bullet"/>
      <w:lvlText w:val="■"/>
      <w:lvlJc w:val="left"/>
      <w:pPr>
        <w:ind w:left="2160" w:hanging="360"/>
      </w:pPr>
    </w:lvl>
    <w:lvl w:ilvl="3" w:tplc="42AC2E6C">
      <w:start w:val="1"/>
      <w:numFmt w:val="bullet"/>
      <w:lvlText w:val="●"/>
      <w:lvlJc w:val="left"/>
      <w:pPr>
        <w:ind w:left="2880" w:hanging="360"/>
      </w:pPr>
    </w:lvl>
    <w:lvl w:ilvl="4" w:tplc="3F7CF034">
      <w:start w:val="1"/>
      <w:numFmt w:val="bullet"/>
      <w:lvlText w:val="○"/>
      <w:lvlJc w:val="left"/>
      <w:pPr>
        <w:ind w:left="3600" w:hanging="360"/>
      </w:pPr>
    </w:lvl>
    <w:lvl w:ilvl="5" w:tplc="965E408A">
      <w:start w:val="1"/>
      <w:numFmt w:val="bullet"/>
      <w:lvlText w:val="■"/>
      <w:lvlJc w:val="left"/>
      <w:pPr>
        <w:ind w:left="4320" w:hanging="360"/>
      </w:pPr>
    </w:lvl>
    <w:lvl w:ilvl="6" w:tplc="4F5E19E8">
      <w:start w:val="1"/>
      <w:numFmt w:val="bullet"/>
      <w:lvlText w:val="●"/>
      <w:lvlJc w:val="left"/>
      <w:pPr>
        <w:ind w:left="5040" w:hanging="360"/>
      </w:pPr>
    </w:lvl>
    <w:lvl w:ilvl="7" w:tplc="2F74D514">
      <w:start w:val="1"/>
      <w:numFmt w:val="bullet"/>
      <w:lvlText w:val="●"/>
      <w:lvlJc w:val="left"/>
      <w:pPr>
        <w:ind w:left="5760" w:hanging="360"/>
      </w:pPr>
    </w:lvl>
    <w:lvl w:ilvl="8" w:tplc="D67E1FE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CDB"/>
    <w:rsid w:val="00107CDB"/>
    <w:rsid w:val="0086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1098C"/>
  <w15:docId w15:val="{CF3A0EBF-DF05-4CFC-B7C5-DB879A476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1"/>
        <w:szCs w:val="21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MARTIN ALONSO</cp:lastModifiedBy>
  <cp:revision>2</cp:revision>
  <dcterms:created xsi:type="dcterms:W3CDTF">2026-10-13T08:12:00Z</dcterms:created>
  <dcterms:modified xsi:type="dcterms:W3CDTF">2026-10-13T08:12:00Z</dcterms:modified>
</cp:coreProperties>
</file>