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4391" w:rsidRDefault="00B92B71" w:rsidP="00B92B71">
      <w:pPr>
        <w:pStyle w:val="Ttulo"/>
        <w:jc w:val="center"/>
        <w:rPr>
          <w:sz w:val="44"/>
          <w:u w:val="single"/>
        </w:rPr>
      </w:pPr>
      <w:r w:rsidRPr="00B92B71">
        <w:rPr>
          <w:sz w:val="44"/>
          <w:u w:val="single"/>
        </w:rPr>
        <w:t>PORCENTAJE DE INGRESOS DE URBANISMO SOBRE EL PRESUPUESTO TOTAL DE INGRESOS</w:t>
      </w:r>
    </w:p>
    <w:p w:rsidR="00B92B71" w:rsidRDefault="00B92B71" w:rsidP="00B92B71">
      <w:pPr>
        <w:jc w:val="both"/>
      </w:pPr>
    </w:p>
    <w:p w:rsidR="00B92B71" w:rsidRDefault="00B92B71" w:rsidP="00B92B71">
      <w:pPr>
        <w:jc w:val="both"/>
      </w:pPr>
      <w:r>
        <w:t xml:space="preserve">Partiendo de un presupuesto de ingresos para el año 2026 de </w:t>
      </w:r>
      <w:r w:rsidRPr="00B92B71">
        <w:rPr>
          <w:b/>
        </w:rPr>
        <w:t>25.572.423,92 €,</w:t>
      </w:r>
      <w:r>
        <w:t xml:space="preserve"> se tienen en cuenta los siguientes ingresos derivados del urbanismo para el cálculo del indicador:</w:t>
      </w:r>
    </w:p>
    <w:tbl>
      <w:tblPr>
        <w:tblW w:w="863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52"/>
        <w:gridCol w:w="4313"/>
        <w:gridCol w:w="1701"/>
        <w:gridCol w:w="1264"/>
      </w:tblGrid>
      <w:tr w:rsidR="00B92B71" w:rsidRPr="00B92B71" w:rsidTr="00B92B71">
        <w:trPr>
          <w:trHeight w:val="282"/>
          <w:tblHeader/>
          <w:tblCellSpacing w:w="15" w:type="dxa"/>
        </w:trPr>
        <w:tc>
          <w:tcPr>
            <w:tcW w:w="1307" w:type="dxa"/>
            <w:vAlign w:val="center"/>
            <w:hideMark/>
          </w:tcPr>
          <w:p w:rsidR="00B92B71" w:rsidRPr="00B92B71" w:rsidRDefault="00B92B71" w:rsidP="00B92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es-ES"/>
              </w:rPr>
            </w:pPr>
            <w:r w:rsidRPr="00B92B71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es-ES"/>
              </w:rPr>
              <w:t>Concepto</w:t>
            </w:r>
          </w:p>
        </w:tc>
        <w:tc>
          <w:tcPr>
            <w:tcW w:w="4283" w:type="dxa"/>
            <w:vAlign w:val="center"/>
            <w:hideMark/>
          </w:tcPr>
          <w:p w:rsidR="00B92B71" w:rsidRPr="00B92B71" w:rsidRDefault="00B92B71" w:rsidP="00B92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es-ES"/>
              </w:rPr>
            </w:pPr>
            <w:r w:rsidRPr="00B92B71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es-ES"/>
              </w:rPr>
              <w:t>Denominación</w:t>
            </w:r>
          </w:p>
        </w:tc>
        <w:tc>
          <w:tcPr>
            <w:tcW w:w="1671" w:type="dxa"/>
            <w:vAlign w:val="center"/>
            <w:hideMark/>
          </w:tcPr>
          <w:p w:rsidR="00B92B71" w:rsidRPr="00B92B71" w:rsidRDefault="00B92B71" w:rsidP="00B92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es-ES"/>
              </w:rPr>
            </w:pPr>
            <w:r w:rsidRPr="00B92B71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es-ES"/>
              </w:rPr>
              <w:t>Importe</w:t>
            </w:r>
          </w:p>
        </w:tc>
        <w:tc>
          <w:tcPr>
            <w:tcW w:w="1219" w:type="dxa"/>
            <w:vAlign w:val="center"/>
            <w:hideMark/>
          </w:tcPr>
          <w:p w:rsidR="00B92B71" w:rsidRPr="00B92B71" w:rsidRDefault="00B92B71" w:rsidP="00B92B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es-ES"/>
              </w:rPr>
            </w:pPr>
            <w:r w:rsidRPr="00B92B71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es-ES"/>
              </w:rPr>
              <w:t>% s/ total</w:t>
            </w:r>
          </w:p>
        </w:tc>
      </w:tr>
      <w:tr w:rsidR="00B92B71" w:rsidRPr="00B92B71" w:rsidTr="00B92B71">
        <w:trPr>
          <w:trHeight w:val="282"/>
          <w:tblCellSpacing w:w="15" w:type="dxa"/>
        </w:trPr>
        <w:tc>
          <w:tcPr>
            <w:tcW w:w="1307" w:type="dxa"/>
            <w:vAlign w:val="center"/>
            <w:hideMark/>
          </w:tcPr>
          <w:p w:rsidR="00B92B71" w:rsidRPr="00B92B71" w:rsidRDefault="00B92B71" w:rsidP="00B92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 w:rsidRPr="00B92B7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  <w:t>112</w:t>
            </w:r>
          </w:p>
        </w:tc>
        <w:tc>
          <w:tcPr>
            <w:tcW w:w="4283" w:type="dxa"/>
            <w:vAlign w:val="center"/>
            <w:hideMark/>
          </w:tcPr>
          <w:p w:rsidR="00B92B71" w:rsidRPr="00B92B71" w:rsidRDefault="00B92B71" w:rsidP="00B92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 w:rsidRPr="00B92B7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  <w:t>IBI rústica</w:t>
            </w:r>
          </w:p>
        </w:tc>
        <w:tc>
          <w:tcPr>
            <w:tcW w:w="1671" w:type="dxa"/>
            <w:vAlign w:val="center"/>
            <w:hideMark/>
          </w:tcPr>
          <w:p w:rsidR="00B92B71" w:rsidRPr="00B92B71" w:rsidRDefault="00B92B71" w:rsidP="00B92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 w:rsidRPr="00B92B7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  <w:t>121.561,21</w:t>
            </w:r>
          </w:p>
        </w:tc>
        <w:tc>
          <w:tcPr>
            <w:tcW w:w="1219" w:type="dxa"/>
            <w:vAlign w:val="center"/>
            <w:hideMark/>
          </w:tcPr>
          <w:p w:rsidR="00B92B71" w:rsidRPr="00B92B71" w:rsidRDefault="00B92B71" w:rsidP="00B92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 w:rsidRPr="00B92B7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  <w:t>0,48%</w:t>
            </w:r>
          </w:p>
        </w:tc>
      </w:tr>
      <w:tr w:rsidR="00B92B71" w:rsidRPr="00B92B71" w:rsidTr="00B92B71">
        <w:trPr>
          <w:trHeight w:val="282"/>
          <w:tblCellSpacing w:w="15" w:type="dxa"/>
        </w:trPr>
        <w:tc>
          <w:tcPr>
            <w:tcW w:w="1307" w:type="dxa"/>
            <w:vAlign w:val="center"/>
            <w:hideMark/>
          </w:tcPr>
          <w:p w:rsidR="00B92B71" w:rsidRPr="00B92B71" w:rsidRDefault="00B92B71" w:rsidP="00B92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 w:rsidRPr="00B92B7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  <w:t>113</w:t>
            </w:r>
          </w:p>
        </w:tc>
        <w:tc>
          <w:tcPr>
            <w:tcW w:w="4283" w:type="dxa"/>
            <w:vAlign w:val="center"/>
            <w:hideMark/>
          </w:tcPr>
          <w:p w:rsidR="00B92B71" w:rsidRPr="00B92B71" w:rsidRDefault="00B92B71" w:rsidP="00B92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 w:rsidRPr="00B92B7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  <w:t>IBI urbana</w:t>
            </w:r>
          </w:p>
        </w:tc>
        <w:tc>
          <w:tcPr>
            <w:tcW w:w="1671" w:type="dxa"/>
            <w:vAlign w:val="center"/>
            <w:hideMark/>
          </w:tcPr>
          <w:p w:rsidR="00B92B71" w:rsidRPr="00B92B71" w:rsidRDefault="00B92B71" w:rsidP="00B92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 w:rsidRPr="00B92B7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  <w:t>4.831.951,68</w:t>
            </w:r>
          </w:p>
        </w:tc>
        <w:tc>
          <w:tcPr>
            <w:tcW w:w="1219" w:type="dxa"/>
            <w:vAlign w:val="center"/>
            <w:hideMark/>
          </w:tcPr>
          <w:p w:rsidR="00B92B71" w:rsidRPr="00B92B71" w:rsidRDefault="00B92B71" w:rsidP="00B92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 w:rsidRPr="00B92B7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  <w:t>18,90%</w:t>
            </w:r>
          </w:p>
        </w:tc>
      </w:tr>
      <w:tr w:rsidR="00B92B71" w:rsidRPr="00B92B71" w:rsidTr="00B92B71">
        <w:trPr>
          <w:trHeight w:val="282"/>
          <w:tblCellSpacing w:w="15" w:type="dxa"/>
        </w:trPr>
        <w:tc>
          <w:tcPr>
            <w:tcW w:w="1307" w:type="dxa"/>
            <w:vAlign w:val="center"/>
            <w:hideMark/>
          </w:tcPr>
          <w:p w:rsidR="00B92B71" w:rsidRPr="00B92B71" w:rsidRDefault="00B92B71" w:rsidP="00B92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 w:rsidRPr="00B92B7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  <w:t>116</w:t>
            </w:r>
          </w:p>
        </w:tc>
        <w:tc>
          <w:tcPr>
            <w:tcW w:w="4283" w:type="dxa"/>
            <w:vAlign w:val="center"/>
            <w:hideMark/>
          </w:tcPr>
          <w:p w:rsidR="00B92B71" w:rsidRPr="00B92B71" w:rsidRDefault="00B92B71" w:rsidP="00B92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 w:rsidRPr="00B92B7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  <w:t>IIVTNU (plusvalía)</w:t>
            </w:r>
          </w:p>
        </w:tc>
        <w:tc>
          <w:tcPr>
            <w:tcW w:w="1671" w:type="dxa"/>
            <w:vAlign w:val="center"/>
            <w:hideMark/>
          </w:tcPr>
          <w:p w:rsidR="00B92B71" w:rsidRPr="00B92B71" w:rsidRDefault="00B92B71" w:rsidP="00B92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 w:rsidRPr="00B92B7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  <w:t>673.351,60</w:t>
            </w:r>
          </w:p>
        </w:tc>
        <w:tc>
          <w:tcPr>
            <w:tcW w:w="1219" w:type="dxa"/>
            <w:vAlign w:val="center"/>
            <w:hideMark/>
          </w:tcPr>
          <w:p w:rsidR="00B92B71" w:rsidRPr="00B92B71" w:rsidRDefault="00B92B71" w:rsidP="00B92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 w:rsidRPr="00B92B7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  <w:t>2,63%</w:t>
            </w:r>
          </w:p>
        </w:tc>
      </w:tr>
      <w:tr w:rsidR="00B92B71" w:rsidRPr="00B92B71" w:rsidTr="00B92B71">
        <w:trPr>
          <w:trHeight w:val="266"/>
          <w:tblCellSpacing w:w="15" w:type="dxa"/>
        </w:trPr>
        <w:tc>
          <w:tcPr>
            <w:tcW w:w="1307" w:type="dxa"/>
            <w:vAlign w:val="center"/>
            <w:hideMark/>
          </w:tcPr>
          <w:p w:rsidR="00B92B71" w:rsidRPr="00B92B71" w:rsidRDefault="00B92B71" w:rsidP="00B92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 w:rsidRPr="00B92B7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  <w:t>290</w:t>
            </w:r>
          </w:p>
        </w:tc>
        <w:tc>
          <w:tcPr>
            <w:tcW w:w="4283" w:type="dxa"/>
            <w:vAlign w:val="center"/>
            <w:hideMark/>
          </w:tcPr>
          <w:p w:rsidR="00B92B71" w:rsidRPr="00B92B71" w:rsidRDefault="00B92B71" w:rsidP="00B92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 w:rsidRPr="00B92B7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  <w:t>ICIO</w:t>
            </w:r>
          </w:p>
        </w:tc>
        <w:tc>
          <w:tcPr>
            <w:tcW w:w="1671" w:type="dxa"/>
            <w:vAlign w:val="center"/>
            <w:hideMark/>
          </w:tcPr>
          <w:p w:rsidR="00B92B71" w:rsidRPr="00B92B71" w:rsidRDefault="00B92B71" w:rsidP="00B92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 w:rsidRPr="00B92B7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  <w:t>1.002.994,49</w:t>
            </w:r>
          </w:p>
        </w:tc>
        <w:tc>
          <w:tcPr>
            <w:tcW w:w="1219" w:type="dxa"/>
            <w:vAlign w:val="center"/>
            <w:hideMark/>
          </w:tcPr>
          <w:p w:rsidR="00B92B71" w:rsidRPr="00B92B71" w:rsidRDefault="00B92B71" w:rsidP="00B92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 w:rsidRPr="00B92B7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  <w:t>3,92%</w:t>
            </w:r>
          </w:p>
        </w:tc>
      </w:tr>
      <w:tr w:rsidR="00B92B71" w:rsidRPr="00B92B71" w:rsidTr="00B92B71">
        <w:trPr>
          <w:trHeight w:val="282"/>
          <w:tblCellSpacing w:w="15" w:type="dxa"/>
        </w:trPr>
        <w:tc>
          <w:tcPr>
            <w:tcW w:w="1307" w:type="dxa"/>
            <w:vAlign w:val="center"/>
            <w:hideMark/>
          </w:tcPr>
          <w:p w:rsidR="00B92B71" w:rsidRPr="00B92B71" w:rsidRDefault="00B92B71" w:rsidP="00B92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 w:rsidRPr="00B92B7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  <w:t>321</w:t>
            </w:r>
          </w:p>
        </w:tc>
        <w:tc>
          <w:tcPr>
            <w:tcW w:w="4283" w:type="dxa"/>
            <w:vAlign w:val="center"/>
            <w:hideMark/>
          </w:tcPr>
          <w:p w:rsidR="00B92B71" w:rsidRPr="00B92B71" w:rsidRDefault="00B92B71" w:rsidP="00B92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 w:rsidRPr="00B92B7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  <w:t>Tasa por licencias urbanísticas</w:t>
            </w:r>
          </w:p>
        </w:tc>
        <w:tc>
          <w:tcPr>
            <w:tcW w:w="1671" w:type="dxa"/>
            <w:vAlign w:val="center"/>
            <w:hideMark/>
          </w:tcPr>
          <w:p w:rsidR="00B92B71" w:rsidRPr="00B92B71" w:rsidRDefault="00B92B71" w:rsidP="00B92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 w:rsidRPr="00B92B7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  <w:t>265.876,91</w:t>
            </w:r>
          </w:p>
        </w:tc>
        <w:tc>
          <w:tcPr>
            <w:tcW w:w="1219" w:type="dxa"/>
            <w:vAlign w:val="center"/>
            <w:hideMark/>
          </w:tcPr>
          <w:p w:rsidR="00B92B71" w:rsidRPr="00B92B71" w:rsidRDefault="00B92B71" w:rsidP="00B92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 w:rsidRPr="00B92B7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  <w:t>1,04%</w:t>
            </w:r>
          </w:p>
        </w:tc>
      </w:tr>
      <w:tr w:rsidR="00B92B71" w:rsidRPr="00B92B71" w:rsidTr="00B92B71">
        <w:trPr>
          <w:trHeight w:val="282"/>
          <w:tblCellSpacing w:w="15" w:type="dxa"/>
        </w:trPr>
        <w:tc>
          <w:tcPr>
            <w:tcW w:w="1307" w:type="dxa"/>
            <w:vAlign w:val="center"/>
            <w:hideMark/>
          </w:tcPr>
          <w:p w:rsidR="00B92B71" w:rsidRPr="00B92B71" w:rsidRDefault="00B92B71" w:rsidP="00B92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 w:rsidRPr="00B92B7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  <w:t>323</w:t>
            </w:r>
          </w:p>
        </w:tc>
        <w:tc>
          <w:tcPr>
            <w:tcW w:w="4283" w:type="dxa"/>
            <w:vAlign w:val="center"/>
            <w:hideMark/>
          </w:tcPr>
          <w:p w:rsidR="00B92B71" w:rsidRPr="00B92B71" w:rsidRDefault="00B92B71" w:rsidP="00B92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 w:rsidRPr="00B92B7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  <w:t>Tasas por otros servicios urbanísticos</w:t>
            </w:r>
          </w:p>
        </w:tc>
        <w:tc>
          <w:tcPr>
            <w:tcW w:w="1671" w:type="dxa"/>
            <w:vAlign w:val="center"/>
            <w:hideMark/>
          </w:tcPr>
          <w:p w:rsidR="00B92B71" w:rsidRPr="00B92B71" w:rsidRDefault="00B92B71" w:rsidP="00B92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 w:rsidRPr="00B92B7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  <w:t>311,65</w:t>
            </w:r>
          </w:p>
        </w:tc>
        <w:tc>
          <w:tcPr>
            <w:tcW w:w="1219" w:type="dxa"/>
            <w:vAlign w:val="center"/>
            <w:hideMark/>
          </w:tcPr>
          <w:p w:rsidR="00B92B71" w:rsidRPr="00B92B71" w:rsidRDefault="00B92B71" w:rsidP="00B92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 w:rsidRPr="00B92B7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  <w:t>0,00%</w:t>
            </w:r>
          </w:p>
        </w:tc>
      </w:tr>
      <w:tr w:rsidR="00B92B71" w:rsidRPr="00B92B71" w:rsidTr="00B92B71">
        <w:trPr>
          <w:trHeight w:val="191"/>
          <w:tblCellSpacing w:w="15" w:type="dxa"/>
        </w:trPr>
        <w:tc>
          <w:tcPr>
            <w:tcW w:w="1307" w:type="dxa"/>
            <w:vAlign w:val="center"/>
            <w:hideMark/>
          </w:tcPr>
          <w:p w:rsidR="00B92B71" w:rsidRPr="00B92B71" w:rsidRDefault="00B92B71" w:rsidP="00B92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 w:rsidRPr="00B92B7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  <w:t>33</w:t>
            </w:r>
          </w:p>
        </w:tc>
        <w:tc>
          <w:tcPr>
            <w:tcW w:w="4283" w:type="dxa"/>
            <w:vAlign w:val="center"/>
            <w:hideMark/>
          </w:tcPr>
          <w:p w:rsidR="00B92B71" w:rsidRPr="00B92B71" w:rsidRDefault="00B92B71" w:rsidP="00B92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 w:rsidRPr="00B92B7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  <w:t>Tasas por ocupación del dominio público</w:t>
            </w:r>
          </w:p>
        </w:tc>
        <w:tc>
          <w:tcPr>
            <w:tcW w:w="1671" w:type="dxa"/>
            <w:vAlign w:val="center"/>
            <w:hideMark/>
          </w:tcPr>
          <w:p w:rsidR="00B92B71" w:rsidRPr="00B92B71" w:rsidRDefault="00B92B71" w:rsidP="00B92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 w:rsidRPr="00B92B7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  <w:t>549.875,18</w:t>
            </w:r>
          </w:p>
        </w:tc>
        <w:tc>
          <w:tcPr>
            <w:tcW w:w="1219" w:type="dxa"/>
            <w:vAlign w:val="center"/>
            <w:hideMark/>
          </w:tcPr>
          <w:p w:rsidR="00B92B71" w:rsidRPr="00B92B71" w:rsidRDefault="00B92B71" w:rsidP="00B92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 w:rsidRPr="00B92B7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  <w:t>2,15%</w:t>
            </w:r>
          </w:p>
        </w:tc>
      </w:tr>
      <w:tr w:rsidR="00B92B71" w:rsidRPr="00B92B71" w:rsidTr="00B92B71">
        <w:trPr>
          <w:trHeight w:val="282"/>
          <w:tblCellSpacing w:w="15" w:type="dxa"/>
        </w:trPr>
        <w:tc>
          <w:tcPr>
            <w:tcW w:w="1307" w:type="dxa"/>
            <w:vAlign w:val="center"/>
            <w:hideMark/>
          </w:tcPr>
          <w:p w:rsidR="00B92B71" w:rsidRPr="00B92B71" w:rsidRDefault="00B92B71" w:rsidP="00B92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 w:rsidRPr="00B92B7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  <w:t>600</w:t>
            </w:r>
          </w:p>
        </w:tc>
        <w:tc>
          <w:tcPr>
            <w:tcW w:w="4283" w:type="dxa"/>
            <w:vAlign w:val="center"/>
            <w:hideMark/>
          </w:tcPr>
          <w:p w:rsidR="00B92B71" w:rsidRPr="00B92B71" w:rsidRDefault="00B92B71" w:rsidP="00B92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 w:rsidRPr="00B92B7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  <w:t>Venta de solares</w:t>
            </w:r>
          </w:p>
        </w:tc>
        <w:tc>
          <w:tcPr>
            <w:tcW w:w="1671" w:type="dxa"/>
            <w:vAlign w:val="center"/>
            <w:hideMark/>
          </w:tcPr>
          <w:p w:rsidR="00B92B71" w:rsidRPr="00B92B71" w:rsidRDefault="00B92B71" w:rsidP="00B92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 w:rsidRPr="00B92B7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  <w:t>0,00</w:t>
            </w:r>
          </w:p>
        </w:tc>
        <w:tc>
          <w:tcPr>
            <w:tcW w:w="1219" w:type="dxa"/>
            <w:vAlign w:val="center"/>
            <w:hideMark/>
          </w:tcPr>
          <w:p w:rsidR="00B92B71" w:rsidRPr="00B92B71" w:rsidRDefault="00B92B71" w:rsidP="00B92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 w:rsidRPr="00B92B7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  <w:t>0,00%</w:t>
            </w:r>
          </w:p>
        </w:tc>
      </w:tr>
      <w:tr w:rsidR="00B92B71" w:rsidRPr="00B92B71" w:rsidTr="00B92B71">
        <w:trPr>
          <w:trHeight w:val="282"/>
          <w:tblCellSpacing w:w="15" w:type="dxa"/>
        </w:trPr>
        <w:tc>
          <w:tcPr>
            <w:tcW w:w="1307" w:type="dxa"/>
            <w:vAlign w:val="center"/>
            <w:hideMark/>
          </w:tcPr>
          <w:p w:rsidR="00B92B71" w:rsidRPr="00B92B71" w:rsidRDefault="00B92B71" w:rsidP="00B92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 w:rsidRPr="00B92B71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es-ES"/>
              </w:rPr>
              <w:t xml:space="preserve">Total </w:t>
            </w:r>
          </w:p>
        </w:tc>
        <w:tc>
          <w:tcPr>
            <w:tcW w:w="4283" w:type="dxa"/>
            <w:vAlign w:val="center"/>
            <w:hideMark/>
          </w:tcPr>
          <w:p w:rsidR="00B92B71" w:rsidRPr="00B92B71" w:rsidRDefault="00B92B71" w:rsidP="00B92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</w:p>
        </w:tc>
        <w:tc>
          <w:tcPr>
            <w:tcW w:w="1671" w:type="dxa"/>
            <w:vAlign w:val="center"/>
            <w:hideMark/>
          </w:tcPr>
          <w:p w:rsidR="00B92B71" w:rsidRPr="00B92B71" w:rsidRDefault="00B92B71" w:rsidP="00B92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 w:rsidRPr="00B92B71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es-ES"/>
              </w:rPr>
              <w:t>7.445.922,72</w:t>
            </w:r>
          </w:p>
        </w:tc>
        <w:tc>
          <w:tcPr>
            <w:tcW w:w="1219" w:type="dxa"/>
            <w:vAlign w:val="center"/>
            <w:hideMark/>
          </w:tcPr>
          <w:p w:rsidR="00B92B71" w:rsidRPr="00B92B71" w:rsidRDefault="00B92B71" w:rsidP="00B92B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es-ES"/>
              </w:rPr>
            </w:pPr>
            <w:r w:rsidRPr="00B92B71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  <w:lang w:eastAsia="es-ES"/>
              </w:rPr>
              <w:t>29,12%</w:t>
            </w:r>
          </w:p>
        </w:tc>
      </w:tr>
    </w:tbl>
    <w:p w:rsidR="00B92B71" w:rsidRDefault="00B92B71" w:rsidP="00B92B71"/>
    <w:p w:rsidR="00B92B71" w:rsidRPr="00B92B71" w:rsidRDefault="00B92B71" w:rsidP="00B92B71">
      <w:pPr>
        <w:jc w:val="both"/>
      </w:pPr>
      <w:r>
        <w:t xml:space="preserve">El porcentaje actual de ingresos derivados de urbanismo respecto del importe de ingresos totales del presupuesto asciende a un </w:t>
      </w:r>
      <w:r w:rsidRPr="00B92B71">
        <w:rPr>
          <w:b/>
        </w:rPr>
        <w:t>29,12 %.</w:t>
      </w:r>
      <w:bookmarkStart w:id="0" w:name="_GoBack"/>
      <w:bookmarkEnd w:id="0"/>
    </w:p>
    <w:sectPr w:rsidR="00B92B71" w:rsidRPr="00B92B71" w:rsidSect="00AC066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2694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4391" w:rsidRDefault="00FE4391">
      <w:r>
        <w:separator/>
      </w:r>
    </w:p>
  </w:endnote>
  <w:endnote w:type="continuationSeparator" w:id="0">
    <w:p w:rsidR="00FE4391" w:rsidRDefault="00FE4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ngs">
    <w:altName w:val="MS Mincho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4391" w:rsidRDefault="00FE439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4391" w:rsidRDefault="00FE4391">
    <w:pPr>
      <w:pStyle w:val="Piedepgina"/>
    </w:pPr>
    <w:r>
      <w:rPr>
        <w:rFonts w:ascii="Calibri" w:hAnsi="Calibri" w:cs="Calibri"/>
        <w:sz w:val="20"/>
        <w:szCs w:val="20"/>
      </w:rPr>
      <w:tab/>
    </w:r>
    <w:r w:rsidR="00E80D1C" w:rsidRPr="00800D9A">
      <w:rPr>
        <w:rFonts w:ascii="Calibri" w:hAnsi="Calibri" w:cs="Calibri"/>
        <w:sz w:val="20"/>
        <w:szCs w:val="20"/>
      </w:rPr>
      <w:fldChar w:fldCharType="begin"/>
    </w:r>
    <w:r w:rsidRPr="00800D9A">
      <w:rPr>
        <w:rFonts w:ascii="Calibri" w:hAnsi="Calibri" w:cs="Calibri"/>
        <w:sz w:val="20"/>
        <w:szCs w:val="20"/>
      </w:rPr>
      <w:instrText xml:space="preserve"> PAGE   \* MERGEFORMAT </w:instrText>
    </w:r>
    <w:r w:rsidR="00E80D1C" w:rsidRPr="00800D9A">
      <w:rPr>
        <w:rFonts w:ascii="Calibri" w:hAnsi="Calibri" w:cs="Calibri"/>
        <w:sz w:val="20"/>
        <w:szCs w:val="20"/>
      </w:rPr>
      <w:fldChar w:fldCharType="separate"/>
    </w:r>
    <w:r w:rsidR="002E5AE1">
      <w:rPr>
        <w:rFonts w:ascii="Calibri" w:hAnsi="Calibri" w:cs="Calibri"/>
        <w:noProof/>
        <w:sz w:val="20"/>
        <w:szCs w:val="20"/>
      </w:rPr>
      <w:t>1</w:t>
    </w:r>
    <w:r w:rsidR="00E80D1C" w:rsidRPr="00800D9A">
      <w:rPr>
        <w:rFonts w:ascii="Calibri" w:hAnsi="Calibri" w:cs="Calibri"/>
        <w:sz w:val="20"/>
        <w:szCs w:val="20"/>
      </w:rPr>
      <w:fldChar w:fldCharType="end"/>
    </w:r>
    <w:r>
      <w:rPr>
        <w:rFonts w:ascii="Calibri" w:hAnsi="Calibri" w:cs="Calibri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4391" w:rsidRDefault="00FE439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4391" w:rsidRDefault="00FE4391">
      <w:r>
        <w:separator/>
      </w:r>
    </w:p>
  </w:footnote>
  <w:footnote w:type="continuationSeparator" w:id="0">
    <w:p w:rsidR="00FE4391" w:rsidRDefault="00FE43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4391" w:rsidRDefault="00FE439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4391" w:rsidRDefault="00FE4391">
    <w:pPr>
      <w:pStyle w:val="Encabezado"/>
    </w:pPr>
    <w:r>
      <w:rPr>
        <w:noProof/>
        <w:lang w:val="es-ES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-1028700</wp:posOffset>
          </wp:positionH>
          <wp:positionV relativeFrom="paragraph">
            <wp:posOffset>-449580</wp:posOffset>
          </wp:positionV>
          <wp:extent cx="7543800" cy="10668000"/>
          <wp:effectExtent l="19050" t="0" r="0" b="0"/>
          <wp:wrapNone/>
          <wp:docPr id="1" name="Imagen 1" descr="Folio-A4-con-sap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olio-A4-con-sap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3800" cy="10668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4391" w:rsidRDefault="00FE439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tarSymbol"/>
        <w:color w:val="00000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" w15:restartNumberingAfterBreak="0">
    <w:nsid w:val="25DA5AF0"/>
    <w:multiLevelType w:val="multilevel"/>
    <w:tmpl w:val="00DAE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906C1F"/>
    <w:multiLevelType w:val="hybridMultilevel"/>
    <w:tmpl w:val="4D7CEF6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FA34E3"/>
    <w:multiLevelType w:val="multilevel"/>
    <w:tmpl w:val="2FF64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FD5B71"/>
    <w:multiLevelType w:val="hybridMultilevel"/>
    <w:tmpl w:val="248EBD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E91116"/>
    <w:multiLevelType w:val="hybridMultilevel"/>
    <w:tmpl w:val="4FF262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556"/>
    <w:rsid w:val="00002161"/>
    <w:rsid w:val="00021305"/>
    <w:rsid w:val="00086116"/>
    <w:rsid w:val="000A6A5B"/>
    <w:rsid w:val="000C3FEF"/>
    <w:rsid w:val="000C630F"/>
    <w:rsid w:val="000D6CDB"/>
    <w:rsid w:val="000E004E"/>
    <w:rsid w:val="000F20CA"/>
    <w:rsid w:val="000F7F6F"/>
    <w:rsid w:val="00103D93"/>
    <w:rsid w:val="00107847"/>
    <w:rsid w:val="0011789F"/>
    <w:rsid w:val="00130C8E"/>
    <w:rsid w:val="00147DD8"/>
    <w:rsid w:val="00154164"/>
    <w:rsid w:val="00166AB3"/>
    <w:rsid w:val="0017508C"/>
    <w:rsid w:val="00175961"/>
    <w:rsid w:val="00180EF7"/>
    <w:rsid w:val="00185594"/>
    <w:rsid w:val="00185FE4"/>
    <w:rsid w:val="001929DB"/>
    <w:rsid w:val="001943C7"/>
    <w:rsid w:val="001A11CE"/>
    <w:rsid w:val="001A387A"/>
    <w:rsid w:val="001B5897"/>
    <w:rsid w:val="001C5631"/>
    <w:rsid w:val="001D2752"/>
    <w:rsid w:val="001E089C"/>
    <w:rsid w:val="00204EF4"/>
    <w:rsid w:val="00205AC6"/>
    <w:rsid w:val="00222C3E"/>
    <w:rsid w:val="002473B4"/>
    <w:rsid w:val="00266324"/>
    <w:rsid w:val="0027096D"/>
    <w:rsid w:val="00274014"/>
    <w:rsid w:val="00282539"/>
    <w:rsid w:val="002B3608"/>
    <w:rsid w:val="002C7DFB"/>
    <w:rsid w:val="002E5AE1"/>
    <w:rsid w:val="003135A5"/>
    <w:rsid w:val="00320C11"/>
    <w:rsid w:val="00345B54"/>
    <w:rsid w:val="00372F06"/>
    <w:rsid w:val="00382A68"/>
    <w:rsid w:val="003B54EE"/>
    <w:rsid w:val="003E7E76"/>
    <w:rsid w:val="003F1414"/>
    <w:rsid w:val="00411706"/>
    <w:rsid w:val="004221DE"/>
    <w:rsid w:val="00431C0F"/>
    <w:rsid w:val="00452F16"/>
    <w:rsid w:val="00454EAF"/>
    <w:rsid w:val="004829C1"/>
    <w:rsid w:val="004A0808"/>
    <w:rsid w:val="004C5A6B"/>
    <w:rsid w:val="004E6A3C"/>
    <w:rsid w:val="004F2204"/>
    <w:rsid w:val="00517E98"/>
    <w:rsid w:val="005269B7"/>
    <w:rsid w:val="00561333"/>
    <w:rsid w:val="00565FC4"/>
    <w:rsid w:val="00571F50"/>
    <w:rsid w:val="005A3C1C"/>
    <w:rsid w:val="005C2A3D"/>
    <w:rsid w:val="005E2396"/>
    <w:rsid w:val="005E61A5"/>
    <w:rsid w:val="005F3AE7"/>
    <w:rsid w:val="00616E78"/>
    <w:rsid w:val="006251B0"/>
    <w:rsid w:val="00627E4C"/>
    <w:rsid w:val="00645EBC"/>
    <w:rsid w:val="00646D3A"/>
    <w:rsid w:val="006474AD"/>
    <w:rsid w:val="00650838"/>
    <w:rsid w:val="00654F24"/>
    <w:rsid w:val="006638B3"/>
    <w:rsid w:val="006741E7"/>
    <w:rsid w:val="00675F06"/>
    <w:rsid w:val="00684809"/>
    <w:rsid w:val="00686373"/>
    <w:rsid w:val="0069461F"/>
    <w:rsid w:val="006B6306"/>
    <w:rsid w:val="006B6E04"/>
    <w:rsid w:val="007066E3"/>
    <w:rsid w:val="00711556"/>
    <w:rsid w:val="00714C26"/>
    <w:rsid w:val="00717441"/>
    <w:rsid w:val="00730307"/>
    <w:rsid w:val="00732649"/>
    <w:rsid w:val="00756773"/>
    <w:rsid w:val="00785D9A"/>
    <w:rsid w:val="00795FB1"/>
    <w:rsid w:val="00797DB8"/>
    <w:rsid w:val="007A4F1D"/>
    <w:rsid w:val="007A7A2C"/>
    <w:rsid w:val="007B6D37"/>
    <w:rsid w:val="007C4EB3"/>
    <w:rsid w:val="007D0BAF"/>
    <w:rsid w:val="007D3ADE"/>
    <w:rsid w:val="007F4BE4"/>
    <w:rsid w:val="00810B5E"/>
    <w:rsid w:val="008142C4"/>
    <w:rsid w:val="00834114"/>
    <w:rsid w:val="00846E1F"/>
    <w:rsid w:val="00847975"/>
    <w:rsid w:val="00851066"/>
    <w:rsid w:val="008672FF"/>
    <w:rsid w:val="00876192"/>
    <w:rsid w:val="00880CA7"/>
    <w:rsid w:val="008833DA"/>
    <w:rsid w:val="00896546"/>
    <w:rsid w:val="00896A3C"/>
    <w:rsid w:val="00897B24"/>
    <w:rsid w:val="008C051F"/>
    <w:rsid w:val="008F3359"/>
    <w:rsid w:val="009150E9"/>
    <w:rsid w:val="00915F6D"/>
    <w:rsid w:val="009261E6"/>
    <w:rsid w:val="0093411B"/>
    <w:rsid w:val="00976A14"/>
    <w:rsid w:val="00981DB2"/>
    <w:rsid w:val="00990611"/>
    <w:rsid w:val="00996C63"/>
    <w:rsid w:val="009B0B5C"/>
    <w:rsid w:val="009B2066"/>
    <w:rsid w:val="009B2348"/>
    <w:rsid w:val="009B5E4B"/>
    <w:rsid w:val="009D5DB8"/>
    <w:rsid w:val="009E7DE9"/>
    <w:rsid w:val="009F0FDA"/>
    <w:rsid w:val="009F765A"/>
    <w:rsid w:val="00A111CE"/>
    <w:rsid w:val="00A30B60"/>
    <w:rsid w:val="00A37C54"/>
    <w:rsid w:val="00A42525"/>
    <w:rsid w:val="00A42A2B"/>
    <w:rsid w:val="00A67DFF"/>
    <w:rsid w:val="00A70F9A"/>
    <w:rsid w:val="00AA17A5"/>
    <w:rsid w:val="00AB3D8F"/>
    <w:rsid w:val="00AC066D"/>
    <w:rsid w:val="00AD1631"/>
    <w:rsid w:val="00AF0A4D"/>
    <w:rsid w:val="00AF4D3F"/>
    <w:rsid w:val="00AF5B12"/>
    <w:rsid w:val="00B044C6"/>
    <w:rsid w:val="00B305B4"/>
    <w:rsid w:val="00B37359"/>
    <w:rsid w:val="00B500B8"/>
    <w:rsid w:val="00B54F6F"/>
    <w:rsid w:val="00B5504A"/>
    <w:rsid w:val="00B92B71"/>
    <w:rsid w:val="00BA41C5"/>
    <w:rsid w:val="00BA4A10"/>
    <w:rsid w:val="00BC26C9"/>
    <w:rsid w:val="00BC4AB4"/>
    <w:rsid w:val="00BC5AE9"/>
    <w:rsid w:val="00BC5BB7"/>
    <w:rsid w:val="00C16764"/>
    <w:rsid w:val="00C21310"/>
    <w:rsid w:val="00C36082"/>
    <w:rsid w:val="00C77726"/>
    <w:rsid w:val="00C8392B"/>
    <w:rsid w:val="00C83BC2"/>
    <w:rsid w:val="00C91559"/>
    <w:rsid w:val="00C975E5"/>
    <w:rsid w:val="00CA75CF"/>
    <w:rsid w:val="00CD3539"/>
    <w:rsid w:val="00CE420D"/>
    <w:rsid w:val="00CE49ED"/>
    <w:rsid w:val="00D00D79"/>
    <w:rsid w:val="00D2307A"/>
    <w:rsid w:val="00D573E5"/>
    <w:rsid w:val="00D6616F"/>
    <w:rsid w:val="00D80B8B"/>
    <w:rsid w:val="00DD511E"/>
    <w:rsid w:val="00DE2FA7"/>
    <w:rsid w:val="00E11BCE"/>
    <w:rsid w:val="00E14EA3"/>
    <w:rsid w:val="00E34A8B"/>
    <w:rsid w:val="00E433AE"/>
    <w:rsid w:val="00E53551"/>
    <w:rsid w:val="00E80D1C"/>
    <w:rsid w:val="00E92EF8"/>
    <w:rsid w:val="00EA234D"/>
    <w:rsid w:val="00EB2760"/>
    <w:rsid w:val="00EC0771"/>
    <w:rsid w:val="00EC2D8F"/>
    <w:rsid w:val="00EE1D8F"/>
    <w:rsid w:val="00EF3B3B"/>
    <w:rsid w:val="00F10257"/>
    <w:rsid w:val="00F43012"/>
    <w:rsid w:val="00F5263E"/>
    <w:rsid w:val="00F57F92"/>
    <w:rsid w:val="00F87CCB"/>
    <w:rsid w:val="00F90B78"/>
    <w:rsid w:val="00F9555C"/>
    <w:rsid w:val="00FA7D97"/>
    <w:rsid w:val="00FC6BDF"/>
    <w:rsid w:val="00FD2AC3"/>
    <w:rsid w:val="00FE43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  <w14:docId w14:val="5147C0BA"/>
  <w15:docId w15:val="{F38EB04F-72C2-4880-A5C0-848B415A3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ngs" w:hAnsi="Cambria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42C4"/>
    <w:pPr>
      <w:spacing w:after="200" w:line="276" w:lineRule="auto"/>
    </w:pPr>
    <w:rPr>
      <w:rFonts w:ascii="Calibri" w:eastAsia="Calibri" w:hAnsi="Calibri" w:cstheme="minorBidi"/>
      <w:color w:val="00000A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rsid w:val="00A67DFF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A67DFF"/>
    <w:rPr>
      <w:rFonts w:ascii="Lucida Grande" w:hAnsi="Lucida Grande" w:cs="Times New Roman"/>
      <w:sz w:val="18"/>
      <w:szCs w:val="18"/>
    </w:rPr>
  </w:style>
  <w:style w:type="paragraph" w:styleId="NormalWeb">
    <w:name w:val="Normal (Web)"/>
    <w:basedOn w:val="Normal"/>
    <w:link w:val="NormalWebCar"/>
    <w:uiPriority w:val="99"/>
    <w:rsid w:val="00CF7987"/>
    <w:pPr>
      <w:spacing w:after="210" w:line="210" w:lineRule="atLeast"/>
      <w:jc w:val="both"/>
    </w:pPr>
    <w:rPr>
      <w:rFonts w:ascii="Times New Roman" w:eastAsia="MS Minngs" w:hAnsi="Times New Roman" w:cs="Times New Roman"/>
      <w:color w:val="auto"/>
      <w:sz w:val="17"/>
      <w:szCs w:val="17"/>
      <w:lang w:eastAsia="es-ES"/>
    </w:rPr>
  </w:style>
  <w:style w:type="paragraph" w:styleId="Encabezado">
    <w:name w:val="header"/>
    <w:basedOn w:val="Normal"/>
    <w:link w:val="EncabezadoCar"/>
    <w:unhideWhenUsed/>
    <w:rsid w:val="00DA01B0"/>
    <w:pPr>
      <w:tabs>
        <w:tab w:val="center" w:pos="4320"/>
        <w:tab w:val="right" w:pos="8640"/>
      </w:tabs>
      <w:spacing w:after="0" w:line="240" w:lineRule="auto"/>
    </w:pPr>
    <w:rPr>
      <w:rFonts w:ascii="Cambria" w:eastAsia="MS Minngs" w:hAnsi="Cambria" w:cs="Times New Roman"/>
      <w:color w:val="auto"/>
      <w:sz w:val="24"/>
      <w:szCs w:val="24"/>
      <w:lang w:val="es-ES_tradnl" w:eastAsia="es-ES"/>
    </w:rPr>
  </w:style>
  <w:style w:type="character" w:customStyle="1" w:styleId="EncabezadoCar">
    <w:name w:val="Encabezado Car"/>
    <w:basedOn w:val="Fuentedeprrafopredeter"/>
    <w:link w:val="Encabezado"/>
    <w:rsid w:val="00DA01B0"/>
    <w:rPr>
      <w:sz w:val="24"/>
      <w:szCs w:val="24"/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DA01B0"/>
    <w:pPr>
      <w:tabs>
        <w:tab w:val="center" w:pos="4320"/>
        <w:tab w:val="right" w:pos="8640"/>
      </w:tabs>
      <w:spacing w:after="0" w:line="240" w:lineRule="auto"/>
    </w:pPr>
    <w:rPr>
      <w:rFonts w:ascii="Cambria" w:eastAsia="MS Minngs" w:hAnsi="Cambria" w:cs="Times New Roman"/>
      <w:color w:val="auto"/>
      <w:sz w:val="24"/>
      <w:szCs w:val="24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A01B0"/>
    <w:rPr>
      <w:sz w:val="24"/>
      <w:szCs w:val="24"/>
      <w:lang w:val="es-ES_tradnl"/>
    </w:rPr>
  </w:style>
  <w:style w:type="table" w:styleId="Tablaconcuadrcula">
    <w:name w:val="Table Grid"/>
    <w:basedOn w:val="Tablanormal"/>
    <w:locked/>
    <w:rsid w:val="000F7F6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independiente">
    <w:name w:val="Body Text"/>
    <w:basedOn w:val="Normal"/>
    <w:link w:val="TextoindependienteCar"/>
    <w:unhideWhenUsed/>
    <w:rsid w:val="001C5631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color w:val="auto"/>
      <w:kern w:val="2"/>
      <w:szCs w:val="24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1C5631"/>
    <w:rPr>
      <w:rFonts w:ascii="Arial" w:eastAsia="Lucida Sans Unicode" w:hAnsi="Arial"/>
      <w:kern w:val="2"/>
      <w:sz w:val="22"/>
      <w:szCs w:val="24"/>
    </w:rPr>
  </w:style>
  <w:style w:type="paragraph" w:customStyle="1" w:styleId="Contenidodelatabla">
    <w:name w:val="Contenido de la tabla"/>
    <w:basedOn w:val="Normal"/>
    <w:rsid w:val="001C5631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Times New Roman"/>
      <w:color w:val="auto"/>
      <w:kern w:val="2"/>
      <w:szCs w:val="24"/>
      <w:lang w:eastAsia="es-ES"/>
    </w:rPr>
  </w:style>
  <w:style w:type="paragraph" w:customStyle="1" w:styleId="Standard">
    <w:name w:val="Standard"/>
    <w:rsid w:val="00086116"/>
    <w:pPr>
      <w:suppressAutoHyphens/>
      <w:textAlignment w:val="baseline"/>
    </w:pPr>
    <w:rPr>
      <w:rFonts w:ascii="Times New Roman" w:eastAsia="Times New Roman" w:hAnsi="Times New Roman"/>
      <w:kern w:val="2"/>
      <w:sz w:val="24"/>
      <w:szCs w:val="24"/>
      <w:lang w:eastAsia="zh-CN"/>
    </w:rPr>
  </w:style>
  <w:style w:type="paragraph" w:customStyle="1" w:styleId="Textbody">
    <w:name w:val="Text body"/>
    <w:basedOn w:val="Standard"/>
    <w:rsid w:val="00086116"/>
    <w:pPr>
      <w:jc w:val="both"/>
    </w:pPr>
    <w:rPr>
      <w:rFonts w:ascii="Verdana" w:hAnsi="Verdana" w:cs="Verdana"/>
      <w:sz w:val="32"/>
    </w:rPr>
  </w:style>
  <w:style w:type="paragraph" w:customStyle="1" w:styleId="Normal0">
    <w:name w:val="Normal_0"/>
    <w:qFormat/>
    <w:rsid w:val="004E6A3C"/>
    <w:rPr>
      <w:rFonts w:ascii="Times New Roman" w:eastAsia="Times New Roman" w:hAnsi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204EF4"/>
    <w:pPr>
      <w:ind w:left="720"/>
      <w:contextualSpacing/>
    </w:pPr>
  </w:style>
  <w:style w:type="character" w:customStyle="1" w:styleId="documentotitulo1">
    <w:name w:val="documentotitulo1"/>
    <w:basedOn w:val="Fuentedeprrafopredeter"/>
    <w:rsid w:val="00345B54"/>
  </w:style>
  <w:style w:type="character" w:styleId="Textoennegrita">
    <w:name w:val="Strong"/>
    <w:basedOn w:val="Fuentedeprrafopredeter"/>
    <w:uiPriority w:val="22"/>
    <w:qFormat/>
    <w:locked/>
    <w:rsid w:val="00345B54"/>
    <w:rPr>
      <w:b/>
      <w:bCs/>
    </w:rPr>
  </w:style>
  <w:style w:type="paragraph" w:customStyle="1" w:styleId="nota-recuadrada">
    <w:name w:val="nota-recuadrada"/>
    <w:basedOn w:val="Normal"/>
    <w:rsid w:val="005A3C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s-ES"/>
    </w:rPr>
  </w:style>
  <w:style w:type="character" w:styleId="nfasis">
    <w:name w:val="Emphasis"/>
    <w:basedOn w:val="Fuentedeprrafopredeter"/>
    <w:uiPriority w:val="20"/>
    <w:qFormat/>
    <w:locked/>
    <w:rsid w:val="005A3C1C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5A3C1C"/>
    <w:rPr>
      <w:color w:val="0000FF"/>
      <w:u w:val="single"/>
    </w:rPr>
  </w:style>
  <w:style w:type="character" w:customStyle="1" w:styleId="resalte">
    <w:name w:val="resalte"/>
    <w:basedOn w:val="Fuentedeprrafopredeter"/>
    <w:rsid w:val="005A3C1C"/>
  </w:style>
  <w:style w:type="paragraph" w:customStyle="1" w:styleId="Default">
    <w:name w:val="Default"/>
    <w:rsid w:val="006638B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NormalWebCar">
    <w:name w:val="Normal (Web) Car"/>
    <w:link w:val="NormalWeb"/>
    <w:uiPriority w:val="99"/>
    <w:locked/>
    <w:rsid w:val="005E2396"/>
    <w:rPr>
      <w:rFonts w:ascii="Times New Roman" w:hAnsi="Times New Roman"/>
      <w:sz w:val="17"/>
      <w:szCs w:val="17"/>
    </w:rPr>
  </w:style>
  <w:style w:type="paragraph" w:styleId="Ttulo">
    <w:name w:val="Title"/>
    <w:basedOn w:val="Normal"/>
    <w:next w:val="Normal"/>
    <w:link w:val="TtuloCar"/>
    <w:qFormat/>
    <w:locked/>
    <w:rsid w:val="00517E98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rsid w:val="00517E98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4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66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76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66479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1766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76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66480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75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87685">
          <w:marLeft w:val="0"/>
          <w:marRight w:val="0"/>
          <w:marTop w:val="0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6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37443">
          <w:marLeft w:val="0"/>
          <w:marRight w:val="0"/>
          <w:marTop w:val="0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91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25B27E-A555-4E51-B66C-57CB6A9C7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682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Davanni Comunicacion</Company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mcontreras</dc:creator>
  <cp:lastModifiedBy>MARTIN ALONSO</cp:lastModifiedBy>
  <cp:revision>2</cp:revision>
  <cp:lastPrinted>2012-06-04T11:22:00Z</cp:lastPrinted>
  <dcterms:created xsi:type="dcterms:W3CDTF">2026-10-13T07:25:00Z</dcterms:created>
  <dcterms:modified xsi:type="dcterms:W3CDTF">2026-10-13T07:25:00Z</dcterms:modified>
</cp:coreProperties>
</file>