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EE7" w:rsidRDefault="00015816">
      <w:pPr>
        <w:pStyle w:val="Ttulo"/>
        <w:jc w:val="center"/>
        <w:rPr>
          <w:sz w:val="44"/>
          <w:u w:val="single"/>
        </w:rPr>
      </w:pPr>
      <w:r>
        <w:rPr>
          <w:sz w:val="44"/>
          <w:u w:val="single"/>
        </w:rPr>
        <w:t>INVERSIÓN EN INFRAESTRUCTURAS POR HABITANTE</w:t>
      </w:r>
    </w:p>
    <w:p w:rsidR="00481EE7" w:rsidRDefault="00481EE7">
      <w:pPr>
        <w:jc w:val="both"/>
      </w:pPr>
    </w:p>
    <w:p w:rsidR="00481EE7" w:rsidRDefault="00015816">
      <w:pPr>
        <w:jc w:val="both"/>
      </w:pPr>
      <w:r>
        <w:t xml:space="preserve">Partiendo de las obligaciones reconocidas netas en el capítulo 6 (Inversiones reales) del presupuesto de gastos del ejercicio 2025, según la liquidación a 31 de diciembre de 2025, que ascienden a </w:t>
      </w:r>
      <w:r>
        <w:rPr>
          <w:b/>
        </w:rPr>
        <w:t>656.222,33 €</w:t>
      </w:r>
      <w:r>
        <w:t xml:space="preserve">, y de una población oficial de </w:t>
      </w:r>
      <w:r>
        <w:rPr>
          <w:b/>
        </w:rPr>
        <w:t>21.500 habitante</w:t>
      </w:r>
      <w:r>
        <w:rPr>
          <w:b/>
        </w:rPr>
        <w:t>s</w:t>
      </w:r>
      <w:r>
        <w:t>, se tienen en cuenta los siguientes gastos de inversión ejecutados para el cálculo del indicador:</w:t>
      </w:r>
    </w:p>
    <w:tbl>
      <w:tblPr>
        <w:tblW w:w="850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1559"/>
        <w:gridCol w:w="1559"/>
      </w:tblGrid>
      <w:tr w:rsidR="00015816" w:rsidTr="00015816">
        <w:trPr>
          <w:tblHeader/>
          <w:tblCellSpacing w:w="15" w:type="dxa"/>
        </w:trPr>
        <w:tc>
          <w:tcPr>
            <w:tcW w:w="5337" w:type="dxa"/>
            <w:vAlign w:val="center"/>
          </w:tcPr>
          <w:p w:rsidR="00015816" w:rsidRDefault="00015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Artículo</w:t>
            </w:r>
          </w:p>
        </w:tc>
        <w:tc>
          <w:tcPr>
            <w:tcW w:w="1529" w:type="dxa"/>
            <w:vAlign w:val="center"/>
          </w:tcPr>
          <w:p w:rsidR="00015816" w:rsidRDefault="00015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Obligaciones reconocidas</w:t>
            </w:r>
          </w:p>
        </w:tc>
        <w:tc>
          <w:tcPr>
            <w:tcW w:w="1514" w:type="dxa"/>
            <w:vAlign w:val="center"/>
          </w:tcPr>
          <w:p w:rsidR="00015816" w:rsidRDefault="00015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% ejecución</w:t>
            </w:r>
          </w:p>
        </w:tc>
      </w:tr>
      <w:tr w:rsidR="00015816" w:rsidTr="00015816">
        <w:trPr>
          <w:tblCellSpacing w:w="15" w:type="dxa"/>
        </w:trPr>
        <w:tc>
          <w:tcPr>
            <w:tcW w:w="5337" w:type="dxa"/>
            <w:vAlign w:val="center"/>
          </w:tcPr>
          <w:p w:rsidR="00015816" w:rsidRDefault="000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60. Inversión nueva en infraestructuras de uso general</w:t>
            </w:r>
          </w:p>
        </w:tc>
        <w:tc>
          <w:tcPr>
            <w:tcW w:w="1529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0,00</w:t>
            </w:r>
          </w:p>
        </w:tc>
        <w:tc>
          <w:tcPr>
            <w:tcW w:w="1514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0,0 %</w:t>
            </w:r>
          </w:p>
        </w:tc>
      </w:tr>
      <w:tr w:rsidR="00015816" w:rsidTr="00015816">
        <w:trPr>
          <w:tblCellSpacing w:w="15" w:type="dxa"/>
        </w:trPr>
        <w:tc>
          <w:tcPr>
            <w:tcW w:w="5337" w:type="dxa"/>
            <w:vAlign w:val="center"/>
          </w:tcPr>
          <w:p w:rsidR="00015816" w:rsidRDefault="000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61. Reposición de infraestructuras de uso general</w:t>
            </w:r>
          </w:p>
        </w:tc>
        <w:tc>
          <w:tcPr>
            <w:tcW w:w="1529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111.858,07</w:t>
            </w:r>
          </w:p>
        </w:tc>
        <w:tc>
          <w:tcPr>
            <w:tcW w:w="1514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61,5 %</w:t>
            </w:r>
          </w:p>
        </w:tc>
      </w:tr>
      <w:tr w:rsidR="00015816" w:rsidTr="00015816">
        <w:trPr>
          <w:tblCellSpacing w:w="15" w:type="dxa"/>
        </w:trPr>
        <w:tc>
          <w:tcPr>
            <w:tcW w:w="5337" w:type="dxa"/>
            <w:vAlign w:val="center"/>
          </w:tcPr>
          <w:p w:rsidR="00015816" w:rsidRDefault="000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62. Inversión nueva asociada al funcionamiento de los servicios</w:t>
            </w:r>
          </w:p>
        </w:tc>
        <w:tc>
          <w:tcPr>
            <w:tcW w:w="1529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491.577,76</w:t>
            </w:r>
          </w:p>
        </w:tc>
        <w:tc>
          <w:tcPr>
            <w:tcW w:w="1514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57,2 %</w:t>
            </w:r>
          </w:p>
        </w:tc>
      </w:tr>
      <w:tr w:rsidR="00015816" w:rsidTr="00015816">
        <w:trPr>
          <w:tblCellSpacing w:w="15" w:type="dxa"/>
        </w:trPr>
        <w:tc>
          <w:tcPr>
            <w:tcW w:w="5337" w:type="dxa"/>
            <w:vAlign w:val="center"/>
          </w:tcPr>
          <w:p w:rsidR="00015816" w:rsidRDefault="000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63. Reposición asociada al funcionamiento de los servicios</w:t>
            </w:r>
          </w:p>
        </w:tc>
        <w:tc>
          <w:tcPr>
            <w:tcW w:w="1529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34.697,00</w:t>
            </w:r>
          </w:p>
        </w:tc>
        <w:tc>
          <w:tcPr>
            <w:tcW w:w="1514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1,1 %</w:t>
            </w:r>
          </w:p>
        </w:tc>
      </w:tr>
      <w:tr w:rsidR="00015816" w:rsidTr="00015816">
        <w:trPr>
          <w:tblCellSpacing w:w="15" w:type="dxa"/>
        </w:trPr>
        <w:tc>
          <w:tcPr>
            <w:tcW w:w="5337" w:type="dxa"/>
            <w:vAlign w:val="center"/>
          </w:tcPr>
          <w:p w:rsidR="00015816" w:rsidRDefault="000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64. Gastos en inversiones de carácter inmaterial</w:t>
            </w:r>
          </w:p>
        </w:tc>
        <w:tc>
          <w:tcPr>
            <w:tcW w:w="1529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18.089,50</w:t>
            </w:r>
          </w:p>
        </w:tc>
        <w:tc>
          <w:tcPr>
            <w:tcW w:w="1514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43,5 %</w:t>
            </w:r>
          </w:p>
        </w:tc>
      </w:tr>
      <w:tr w:rsidR="00015816" w:rsidTr="00015816">
        <w:trPr>
          <w:tblCellSpacing w:w="15" w:type="dxa"/>
        </w:trPr>
        <w:tc>
          <w:tcPr>
            <w:tcW w:w="5337" w:type="dxa"/>
            <w:vAlign w:val="center"/>
          </w:tcPr>
          <w:p w:rsidR="00015816" w:rsidRDefault="000158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Total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 xml:space="preserve"> capítulo 6</w:t>
            </w:r>
          </w:p>
        </w:tc>
        <w:tc>
          <w:tcPr>
            <w:tcW w:w="1529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656.222,33</w:t>
            </w:r>
          </w:p>
        </w:tc>
        <w:tc>
          <w:tcPr>
            <w:tcW w:w="1514" w:type="dxa"/>
            <w:vAlign w:val="center"/>
          </w:tcPr>
          <w:p w:rsidR="00015816" w:rsidRDefault="00015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15,4 %</w:t>
            </w:r>
          </w:p>
        </w:tc>
      </w:tr>
    </w:tbl>
    <w:p w:rsidR="00481EE7" w:rsidRDefault="00481EE7"/>
    <w:p w:rsidR="00481EE7" w:rsidRDefault="00015816">
      <w:pPr>
        <w:jc w:val="center"/>
      </w:pPr>
      <w:r>
        <w:rPr>
          <w:b/>
        </w:rPr>
        <w:t>656.222,33 € / 21.500 habitantes = 30,52 €/habitante</w:t>
      </w:r>
    </w:p>
    <w:p w:rsidR="00481EE7" w:rsidRDefault="00015816">
      <w:pPr>
        <w:jc w:val="both"/>
      </w:pPr>
      <w:r>
        <w:t xml:space="preserve">La inversión en infraestructuras por habitante, calculada como el gasto ejecutado en inversiones reales (capítulo 6) entre el número de habitantes, asciende a </w:t>
      </w:r>
      <w:r>
        <w:rPr>
          <w:b/>
        </w:rPr>
        <w:t>30,52 € por habitante.</w:t>
      </w:r>
      <w:bookmarkStart w:id="0" w:name="_GoBack"/>
      <w:bookmarkEnd w:id="0"/>
    </w:p>
    <w:sectPr w:rsidR="00481EE7" w:rsidSect="00AC06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69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91" w:rsidRDefault="00FE4391">
      <w:r>
        <w:separator/>
      </w:r>
    </w:p>
  </w:endnote>
  <w:endnote w:type="continuationSeparator" w:id="0">
    <w:p w:rsidR="00FE4391" w:rsidRDefault="00FE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  <w:r>
      <w:rPr>
        <w:rFonts w:ascii="Calibri" w:hAnsi="Calibri" w:cs="Calibri"/>
        <w:sz w:val="20"/>
        <w:szCs w:val="20"/>
      </w:rPr>
      <w:tab/>
    </w:r>
    <w:r w:rsidR="00E80D1C" w:rsidRPr="00800D9A">
      <w:rPr>
        <w:rFonts w:ascii="Calibri" w:hAnsi="Calibri" w:cs="Calibri"/>
        <w:sz w:val="20"/>
        <w:szCs w:val="20"/>
      </w:rPr>
      <w:fldChar w:fldCharType="begin"/>
    </w:r>
    <w:r w:rsidRPr="00800D9A">
      <w:rPr>
        <w:rFonts w:ascii="Calibri" w:hAnsi="Calibri" w:cs="Calibri"/>
        <w:sz w:val="20"/>
        <w:szCs w:val="20"/>
      </w:rPr>
      <w:instrText xml:space="preserve"> PAGE   \* MERGEFORMAT </w:instrText>
    </w:r>
    <w:r w:rsidR="00E80D1C" w:rsidRPr="00800D9A">
      <w:rPr>
        <w:rFonts w:ascii="Calibri" w:hAnsi="Calibri" w:cs="Calibri"/>
        <w:sz w:val="20"/>
        <w:szCs w:val="20"/>
      </w:rPr>
      <w:fldChar w:fldCharType="separate"/>
    </w:r>
    <w:r w:rsidR="002E5AE1">
      <w:rPr>
        <w:rFonts w:ascii="Calibri" w:hAnsi="Calibri" w:cs="Calibri"/>
        <w:noProof/>
        <w:sz w:val="20"/>
        <w:szCs w:val="20"/>
      </w:rPr>
      <w:t>1</w:t>
    </w:r>
    <w:r w:rsidR="00E80D1C" w:rsidRPr="00800D9A"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91" w:rsidRDefault="00FE4391">
      <w:r>
        <w:separator/>
      </w:r>
    </w:p>
  </w:footnote>
  <w:footnote w:type="continuationSeparator" w:id="0">
    <w:p w:rsidR="00FE4391" w:rsidRDefault="00FE4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-449580</wp:posOffset>
          </wp:positionV>
          <wp:extent cx="7543800" cy="10668000"/>
          <wp:effectExtent l="19050" t="0" r="0" b="0"/>
          <wp:wrapNone/>
          <wp:docPr id="1" name="Imagen 1" descr="Folio-A4-con-sa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io-A4-con-sa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6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tarSymbol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25DA5AF0"/>
    <w:multiLevelType w:val="multilevel"/>
    <w:tmpl w:val="00DA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06C1F"/>
    <w:multiLevelType w:val="hybridMultilevel"/>
    <w:tmpl w:val="4D7CEF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A34E3"/>
    <w:multiLevelType w:val="multilevel"/>
    <w:tmpl w:val="2FF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D5B71"/>
    <w:multiLevelType w:val="hybridMultilevel"/>
    <w:tmpl w:val="248EB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91116"/>
    <w:multiLevelType w:val="hybridMultilevel"/>
    <w:tmpl w:val="4FF26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56"/>
    <w:rsid w:val="00002161"/>
    <w:rsid w:val="00015816"/>
    <w:rsid w:val="00021305"/>
    <w:rsid w:val="00086116"/>
    <w:rsid w:val="000A6A5B"/>
    <w:rsid w:val="000C3FEF"/>
    <w:rsid w:val="000C630F"/>
    <w:rsid w:val="000D6CDB"/>
    <w:rsid w:val="000E004E"/>
    <w:rsid w:val="000F20CA"/>
    <w:rsid w:val="000F7F6F"/>
    <w:rsid w:val="00103D93"/>
    <w:rsid w:val="00107847"/>
    <w:rsid w:val="0011789F"/>
    <w:rsid w:val="00130C8E"/>
    <w:rsid w:val="00147DD8"/>
    <w:rsid w:val="00154164"/>
    <w:rsid w:val="00166AB3"/>
    <w:rsid w:val="0017508C"/>
    <w:rsid w:val="00175961"/>
    <w:rsid w:val="00180EF7"/>
    <w:rsid w:val="00185594"/>
    <w:rsid w:val="00185FE4"/>
    <w:rsid w:val="001929DB"/>
    <w:rsid w:val="001943C7"/>
    <w:rsid w:val="001A11CE"/>
    <w:rsid w:val="001A387A"/>
    <w:rsid w:val="001B5897"/>
    <w:rsid w:val="001C5631"/>
    <w:rsid w:val="001D2752"/>
    <w:rsid w:val="001E089C"/>
    <w:rsid w:val="00204EF4"/>
    <w:rsid w:val="00205AC6"/>
    <w:rsid w:val="00222C3E"/>
    <w:rsid w:val="002473B4"/>
    <w:rsid w:val="00266324"/>
    <w:rsid w:val="0027096D"/>
    <w:rsid w:val="00274014"/>
    <w:rsid w:val="00282539"/>
    <w:rsid w:val="002B3608"/>
    <w:rsid w:val="002C7DFB"/>
    <w:rsid w:val="002E5AE1"/>
    <w:rsid w:val="003135A5"/>
    <w:rsid w:val="00320C11"/>
    <w:rsid w:val="00345B54"/>
    <w:rsid w:val="00372F06"/>
    <w:rsid w:val="00382A68"/>
    <w:rsid w:val="0038384A"/>
    <w:rsid w:val="003B54EE"/>
    <w:rsid w:val="003E7E76"/>
    <w:rsid w:val="003F1414"/>
    <w:rsid w:val="00411706"/>
    <w:rsid w:val="004221DE"/>
    <w:rsid w:val="00431C0F"/>
    <w:rsid w:val="00452F16"/>
    <w:rsid w:val="00454EAF"/>
    <w:rsid w:val="00481EE7"/>
    <w:rsid w:val="004829C1"/>
    <w:rsid w:val="004A0808"/>
    <w:rsid w:val="004C5A6B"/>
    <w:rsid w:val="004E6A3C"/>
    <w:rsid w:val="004F2204"/>
    <w:rsid w:val="00517E98"/>
    <w:rsid w:val="005269B7"/>
    <w:rsid w:val="00561333"/>
    <w:rsid w:val="00565FC4"/>
    <w:rsid w:val="00571F50"/>
    <w:rsid w:val="005A3C1C"/>
    <w:rsid w:val="005C2A3D"/>
    <w:rsid w:val="005E2396"/>
    <w:rsid w:val="005E61A5"/>
    <w:rsid w:val="005F3AE7"/>
    <w:rsid w:val="00616E78"/>
    <w:rsid w:val="006251B0"/>
    <w:rsid w:val="00627E4C"/>
    <w:rsid w:val="00645EBC"/>
    <w:rsid w:val="00646D3A"/>
    <w:rsid w:val="006474AD"/>
    <w:rsid w:val="00650838"/>
    <w:rsid w:val="00654F24"/>
    <w:rsid w:val="006638B3"/>
    <w:rsid w:val="006741E7"/>
    <w:rsid w:val="00675F06"/>
    <w:rsid w:val="00684809"/>
    <w:rsid w:val="00686373"/>
    <w:rsid w:val="0069461F"/>
    <w:rsid w:val="006B6306"/>
    <w:rsid w:val="006B6E04"/>
    <w:rsid w:val="007066E3"/>
    <w:rsid w:val="00711556"/>
    <w:rsid w:val="00714C26"/>
    <w:rsid w:val="00717441"/>
    <w:rsid w:val="00730307"/>
    <w:rsid w:val="00732649"/>
    <w:rsid w:val="00756773"/>
    <w:rsid w:val="00785D9A"/>
    <w:rsid w:val="00795FB1"/>
    <w:rsid w:val="00797DB8"/>
    <w:rsid w:val="007A4F1D"/>
    <w:rsid w:val="007A7A2C"/>
    <w:rsid w:val="007B6D37"/>
    <w:rsid w:val="007C4EB3"/>
    <w:rsid w:val="007D0BAF"/>
    <w:rsid w:val="007D3ADE"/>
    <w:rsid w:val="007F4BE4"/>
    <w:rsid w:val="00810B5E"/>
    <w:rsid w:val="008142C4"/>
    <w:rsid w:val="00834114"/>
    <w:rsid w:val="00846E1F"/>
    <w:rsid w:val="00847975"/>
    <w:rsid w:val="00851066"/>
    <w:rsid w:val="008672FF"/>
    <w:rsid w:val="00876192"/>
    <w:rsid w:val="00880CA7"/>
    <w:rsid w:val="008833DA"/>
    <w:rsid w:val="00896546"/>
    <w:rsid w:val="00896A3C"/>
    <w:rsid w:val="00897B24"/>
    <w:rsid w:val="008C051F"/>
    <w:rsid w:val="008F3359"/>
    <w:rsid w:val="009150E9"/>
    <w:rsid w:val="00915F6D"/>
    <w:rsid w:val="009261E6"/>
    <w:rsid w:val="0093411B"/>
    <w:rsid w:val="00976A14"/>
    <w:rsid w:val="00981DB2"/>
    <w:rsid w:val="00990611"/>
    <w:rsid w:val="00996C63"/>
    <w:rsid w:val="009B0B5C"/>
    <w:rsid w:val="009B2066"/>
    <w:rsid w:val="009B2348"/>
    <w:rsid w:val="009B5E4B"/>
    <w:rsid w:val="009D5DB8"/>
    <w:rsid w:val="009E7DE9"/>
    <w:rsid w:val="009F0FDA"/>
    <w:rsid w:val="009F765A"/>
    <w:rsid w:val="00A111CE"/>
    <w:rsid w:val="00A30B60"/>
    <w:rsid w:val="00A37C54"/>
    <w:rsid w:val="00A42525"/>
    <w:rsid w:val="00A42A2B"/>
    <w:rsid w:val="00A67DFF"/>
    <w:rsid w:val="00A70F9A"/>
    <w:rsid w:val="00AA17A5"/>
    <w:rsid w:val="00AB3D8F"/>
    <w:rsid w:val="00AC066D"/>
    <w:rsid w:val="00AD1631"/>
    <w:rsid w:val="00AF0A4D"/>
    <w:rsid w:val="00AF4D3F"/>
    <w:rsid w:val="00AF5B12"/>
    <w:rsid w:val="00B044C6"/>
    <w:rsid w:val="00B305B4"/>
    <w:rsid w:val="00B37359"/>
    <w:rsid w:val="00B500B8"/>
    <w:rsid w:val="00B54F6F"/>
    <w:rsid w:val="00B5504A"/>
    <w:rsid w:val="00B92B71"/>
    <w:rsid w:val="00BA41C5"/>
    <w:rsid w:val="00BA4A10"/>
    <w:rsid w:val="00BC26C9"/>
    <w:rsid w:val="00BC4AB4"/>
    <w:rsid w:val="00BC5AE9"/>
    <w:rsid w:val="00BC5BB7"/>
    <w:rsid w:val="00C16764"/>
    <w:rsid w:val="00C21310"/>
    <w:rsid w:val="00C36082"/>
    <w:rsid w:val="00C77726"/>
    <w:rsid w:val="00C8392B"/>
    <w:rsid w:val="00C83BC2"/>
    <w:rsid w:val="00C91559"/>
    <w:rsid w:val="00C975E5"/>
    <w:rsid w:val="00CA75CF"/>
    <w:rsid w:val="00CD3539"/>
    <w:rsid w:val="00CE420D"/>
    <w:rsid w:val="00CE49ED"/>
    <w:rsid w:val="00D00D79"/>
    <w:rsid w:val="00D2307A"/>
    <w:rsid w:val="00D573E5"/>
    <w:rsid w:val="00D6616F"/>
    <w:rsid w:val="00D80B8B"/>
    <w:rsid w:val="00DD511E"/>
    <w:rsid w:val="00DE2FA7"/>
    <w:rsid w:val="00E11BCE"/>
    <w:rsid w:val="00E14EA3"/>
    <w:rsid w:val="00E34A8B"/>
    <w:rsid w:val="00E433AE"/>
    <w:rsid w:val="00E53551"/>
    <w:rsid w:val="00E80D1C"/>
    <w:rsid w:val="00E92EF8"/>
    <w:rsid w:val="00EA234D"/>
    <w:rsid w:val="00EB2760"/>
    <w:rsid w:val="00EC0771"/>
    <w:rsid w:val="00EC2D8F"/>
    <w:rsid w:val="00EE1D8F"/>
    <w:rsid w:val="00EF3B3B"/>
    <w:rsid w:val="00F10257"/>
    <w:rsid w:val="00F36098"/>
    <w:rsid w:val="00F43012"/>
    <w:rsid w:val="00F5263E"/>
    <w:rsid w:val="00F57F92"/>
    <w:rsid w:val="00F87CCB"/>
    <w:rsid w:val="00F90B78"/>
    <w:rsid w:val="00F9555C"/>
    <w:rsid w:val="00FA7D97"/>
    <w:rsid w:val="00FC6BDF"/>
    <w:rsid w:val="00FD2AC3"/>
    <w:rsid w:val="00FE4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5:docId w15:val="{F38EB04F-72C2-4880-A5C0-848B415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2C4"/>
    <w:pPr>
      <w:spacing w:after="200" w:line="276" w:lineRule="auto"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7DF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7DFF"/>
    <w:rPr>
      <w:rFonts w:ascii="Lucida Grande" w:hAnsi="Lucida Grande" w:cs="Times New Roman"/>
      <w:sz w:val="18"/>
      <w:szCs w:val="18"/>
    </w:rPr>
  </w:style>
  <w:style w:type="paragraph" w:styleId="NormalWeb">
    <w:name w:val="Normal (Web)"/>
    <w:basedOn w:val="Normal"/>
    <w:link w:val="NormalWebCar"/>
    <w:uiPriority w:val="99"/>
    <w:rsid w:val="00CF7987"/>
    <w:pPr>
      <w:spacing w:after="210" w:line="210" w:lineRule="atLeast"/>
      <w:jc w:val="both"/>
    </w:pPr>
    <w:rPr>
      <w:rFonts w:ascii="Times New Roman" w:eastAsia="MS Minngs" w:hAnsi="Times New Roman" w:cs="Times New Roman"/>
      <w:color w:val="auto"/>
      <w:sz w:val="17"/>
      <w:szCs w:val="17"/>
      <w:lang w:eastAsia="es-ES"/>
    </w:rPr>
  </w:style>
  <w:style w:type="paragraph" w:styleId="Encabezado">
    <w:name w:val="header"/>
    <w:basedOn w:val="Normal"/>
    <w:link w:val="EncabezadoCar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DA01B0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01B0"/>
    <w:rPr>
      <w:sz w:val="24"/>
      <w:szCs w:val="24"/>
      <w:lang w:val="es-ES_tradnl"/>
    </w:rPr>
  </w:style>
  <w:style w:type="table" w:styleId="Tablaconcuadrcula">
    <w:name w:val="Table Grid"/>
    <w:basedOn w:val="Tablanormal"/>
    <w:locked/>
    <w:rsid w:val="000F7F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unhideWhenUsed/>
    <w:rsid w:val="001C5631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5631"/>
    <w:rPr>
      <w:rFonts w:ascii="Arial" w:eastAsia="Lucida Sans Unicode" w:hAnsi="Arial"/>
      <w:kern w:val="2"/>
      <w:sz w:val="22"/>
      <w:szCs w:val="24"/>
    </w:rPr>
  </w:style>
  <w:style w:type="paragraph" w:customStyle="1" w:styleId="Contenidodelatabla">
    <w:name w:val="Contenido de la tabla"/>
    <w:basedOn w:val="Normal"/>
    <w:rsid w:val="001C563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paragraph" w:customStyle="1" w:styleId="Standard">
    <w:name w:val="Standard"/>
    <w:rsid w:val="00086116"/>
    <w:pPr>
      <w:suppressAutoHyphens/>
      <w:textAlignment w:val="baseline"/>
    </w:pPr>
    <w:rPr>
      <w:rFonts w:ascii="Times New Roman" w:eastAsia="Times New Roman" w:hAnsi="Times New Roman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rsid w:val="00086116"/>
    <w:pPr>
      <w:jc w:val="both"/>
    </w:pPr>
    <w:rPr>
      <w:rFonts w:ascii="Verdana" w:hAnsi="Verdana" w:cs="Verdana"/>
      <w:sz w:val="32"/>
    </w:rPr>
  </w:style>
  <w:style w:type="paragraph" w:customStyle="1" w:styleId="Normal0">
    <w:name w:val="Normal_0"/>
    <w:qFormat/>
    <w:rsid w:val="004E6A3C"/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04EF4"/>
    <w:pPr>
      <w:ind w:left="720"/>
      <w:contextualSpacing/>
    </w:pPr>
  </w:style>
  <w:style w:type="character" w:customStyle="1" w:styleId="documentotitulo1">
    <w:name w:val="documentotitulo1"/>
    <w:basedOn w:val="Fuentedeprrafopredeter"/>
    <w:rsid w:val="00345B54"/>
  </w:style>
  <w:style w:type="character" w:styleId="Textoennegrita">
    <w:name w:val="Strong"/>
    <w:basedOn w:val="Fuentedeprrafopredeter"/>
    <w:uiPriority w:val="22"/>
    <w:qFormat/>
    <w:locked/>
    <w:rsid w:val="00345B54"/>
    <w:rPr>
      <w:b/>
      <w:bCs/>
    </w:rPr>
  </w:style>
  <w:style w:type="paragraph" w:customStyle="1" w:styleId="nota-recuadrada">
    <w:name w:val="nota-recuadrada"/>
    <w:basedOn w:val="Normal"/>
    <w:rsid w:val="005A3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locked/>
    <w:rsid w:val="005A3C1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5A3C1C"/>
    <w:rPr>
      <w:color w:val="0000FF"/>
      <w:u w:val="single"/>
    </w:rPr>
  </w:style>
  <w:style w:type="character" w:customStyle="1" w:styleId="resalte">
    <w:name w:val="resalte"/>
    <w:basedOn w:val="Fuentedeprrafopredeter"/>
    <w:rsid w:val="005A3C1C"/>
  </w:style>
  <w:style w:type="paragraph" w:customStyle="1" w:styleId="Default">
    <w:name w:val="Default"/>
    <w:rsid w:val="006638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WebCar">
    <w:name w:val="Normal (Web) Car"/>
    <w:link w:val="NormalWeb"/>
    <w:uiPriority w:val="99"/>
    <w:locked/>
    <w:rsid w:val="005E2396"/>
    <w:rPr>
      <w:rFonts w:ascii="Times New Roman" w:hAnsi="Times New Roman"/>
      <w:sz w:val="17"/>
      <w:szCs w:val="17"/>
    </w:rPr>
  </w:style>
  <w:style w:type="paragraph" w:styleId="Ttulo">
    <w:name w:val="Title"/>
    <w:basedOn w:val="Normal"/>
    <w:next w:val="Normal"/>
    <w:link w:val="TtuloCar"/>
    <w:qFormat/>
    <w:locked/>
    <w:rsid w:val="00517E9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17E9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7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7685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443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4316-2089-43A4-8C3F-990A10A75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Davanni Comunicacion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mcontreras</dc:creator>
  <cp:lastModifiedBy>MARTIN ALONSO</cp:lastModifiedBy>
  <cp:revision>2</cp:revision>
  <cp:lastPrinted>2012-06-04T11:22:00Z</cp:lastPrinted>
  <dcterms:created xsi:type="dcterms:W3CDTF">2026-10-15T20:20:00Z</dcterms:created>
  <dcterms:modified xsi:type="dcterms:W3CDTF">2026-10-15T20:20:00Z</dcterms:modified>
</cp:coreProperties>
</file>