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  tienen exclusivamente,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los Pliegos de los Contratos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“Humanes de Madrid”</w:t>
      </w:r>
      <w:r>
        <w:rPr/>
        <w:t xml:space="preserve"> en organización contratante. Se desplegará un perfil</w:t>
      </w:r>
    </w:p>
    <w:p>
      <w:pPr/>
      <w:r>
        <w:rPr/>
        <w:t xml:space="preserve"> </w:t>
      </w:r>
    </w:p>
    <w:tbl>
      <w:tblGrid>
        <w:gridCol w:w="295900" w:type="dxa"/>
        <w:gridCol w:w="183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9590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183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295900" w:type="pct"/>
            <w:vAlign w:val="center"/>
          </w:tcPr>
          <w:p>
            <w:pPr>
              <w:jc w:val="center"/>
            </w:pPr>
            <w:r>
              <w:rPr/>
              <w:t xml:space="preserve">Alcaldía del Ayuntamiento de Humanes de Madrid</w:t>
            </w:r>
          </w:p>
        </w:tc>
        <w:tc>
          <w:tcPr>
            <w:tcW w:w="1835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2026-08-26T01:34:14+00:00</dcterms:created>
  <dcterms:modified xsi:type="dcterms:W3CDTF">2026-08-26T01:34:14+00:00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