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1800" w:type="dxa"/>
        <w:gridCol w:w="378900" w:type="dxa"/>
      </w:tblGrid>
      <w:tblPr>
        <w:tblW w:w="28750" w:type="pct"/>
        <w:tblLayout w:type="autofit"/>
        <w:bidiVisual w:val="0"/>
      </w:tblPr>
      <w:tr>
        <w:trPr>
          <w:tblHeader w:val="1"/>
        </w:trPr>
        <w:tc>
          <w:tcPr>
            <w:tcW w:w="111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3789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11800" w:type="pct"/>
          </w:tcPr>
          <w:p>
            <w:pPr/>
            <w:r>
              <w:rPr>
                <w:b w:val="1"/>
                <w:bCs w:val="1"/>
              </w:rPr>
              <w:t xml:space="preserve">Plan Estratégico de Subvenciones 2025-2029</w:t>
            </w:r>
          </w:p>
        </w:tc>
        <w:tc>
          <w:tcPr>
            <w:tcW w:w="378900" w:type="pct"/>
            <w:gridSpan w:val="2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2026-10-16T11:50:45+00:00</dcterms:created>
  <dcterms:modified xsi:type="dcterms:W3CDTF">2026-10-16T11:50:45+00:00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