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1800" w:type="dxa"/>
        <w:gridCol w:w="378900" w:type="dxa"/>
      </w:tblGrid>
      <w:tblPr>
        <w:tblW w:w="28750" w:type="pct"/>
        <w:tblLayout w:type="autofit"/>
        <w:bidiVisual w:val="0"/>
      </w:tblPr>
      <w:tr>
        <w:trPr>
          <w:tblHeader w:val="1"/>
        </w:trPr>
        <w:tc>
          <w:tcPr>
            <w:tcW w:w="111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789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11800" w:type="pct"/>
          </w:tcPr>
          <w:p>
            <w:pPr/>
            <w:r>
              <w:rPr>
                <w:b w:val="1"/>
                <w:bCs w:val="1"/>
              </w:rPr>
              <w:t xml:space="preserve">Plan Estratégico de Subvenciones 2025-2029</w:t>
            </w:r>
          </w:p>
        </w:tc>
        <w:tc>
          <w:tcPr>
            <w:tcW w:w="378900" w:type="pct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2026-08-26T01:34:42+00:00</dcterms:created>
  <dcterms:modified xsi:type="dcterms:W3CDTF">2026-08-26T01:34:42+00:00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